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A0524" w:rsidRPr="000A0524" w:rsidRDefault="000A0524" w:rsidP="000A0524">
      <w:pPr>
        <w:jc w:val="center"/>
        <w:rPr>
          <w:rFonts w:ascii="宋体" w:eastAsia="宋体" w:hAnsi="宋体" w:cs="Times New Roman"/>
          <w:b/>
          <w:sz w:val="30"/>
          <w:szCs w:val="30"/>
        </w:rPr>
      </w:pPr>
      <w:bookmarkStart w:id="0" w:name="_Toc273027727"/>
      <w:bookmarkStart w:id="1" w:name="_Toc274009413"/>
      <w:bookmarkStart w:id="2" w:name="_Toc274150408"/>
      <w:r w:rsidRPr="000A0524">
        <w:rPr>
          <w:rFonts w:ascii="宋体" w:eastAsia="宋体" w:hAnsi="宋体" w:cs="Times New Roman" w:hint="eastAsia"/>
          <w:b/>
          <w:sz w:val="30"/>
          <w:szCs w:val="30"/>
        </w:rPr>
        <w:t>中国中金财富证券有限公司融资融券业务合同</w:t>
      </w:r>
      <w:bookmarkEnd w:id="0"/>
      <w:bookmarkEnd w:id="1"/>
      <w:bookmarkEnd w:id="2"/>
      <w:r w:rsidRPr="000A0524">
        <w:rPr>
          <w:rFonts w:ascii="宋体" w:eastAsia="宋体" w:hAnsi="宋体" w:cs="Times New Roman"/>
          <w:b/>
          <w:sz w:val="30"/>
          <w:szCs w:val="30"/>
        </w:rPr>
        <w:br/>
      </w:r>
      <w:r w:rsidRPr="000A0524">
        <w:rPr>
          <w:rFonts w:ascii="宋体" w:eastAsia="宋体" w:hAnsi="宋体" w:cs="Times New Roman" w:hint="eastAsia"/>
          <w:b/>
          <w:sz w:val="30"/>
          <w:szCs w:val="30"/>
        </w:rPr>
        <w:t>（</w:t>
      </w:r>
      <w:r w:rsidRPr="000A0524">
        <w:rPr>
          <w:rFonts w:ascii="宋体" w:eastAsia="宋体" w:hAnsi="宋体" w:cs="Times New Roman"/>
          <w:b/>
          <w:sz w:val="30"/>
          <w:szCs w:val="30"/>
        </w:rPr>
        <w:t>2021</w:t>
      </w:r>
      <w:r w:rsidRPr="000A0524">
        <w:rPr>
          <w:rFonts w:ascii="宋体" w:eastAsia="宋体" w:hAnsi="宋体" w:cs="Times New Roman" w:hint="eastAsia"/>
          <w:b/>
          <w:sz w:val="30"/>
          <w:szCs w:val="30"/>
        </w:rPr>
        <w:t>年</w:t>
      </w:r>
      <w:r w:rsidRPr="000A0524">
        <w:rPr>
          <w:rFonts w:ascii="宋体" w:eastAsia="宋体" w:hAnsi="宋体" w:cs="Times New Roman"/>
          <w:b/>
          <w:sz w:val="30"/>
          <w:szCs w:val="30"/>
        </w:rPr>
        <w:t>修订版</w:t>
      </w:r>
      <w:r w:rsidRPr="000A0524">
        <w:rPr>
          <w:rFonts w:ascii="宋体" w:eastAsia="宋体" w:hAnsi="宋体" w:cs="Times New Roman" w:hint="eastAsia"/>
          <w:b/>
          <w:sz w:val="30"/>
          <w:szCs w:val="30"/>
        </w:rPr>
        <w:t>）</w:t>
      </w:r>
      <w:r w:rsidRPr="000A0524">
        <w:rPr>
          <w:rFonts w:ascii="宋体" w:eastAsia="宋体" w:hAnsi="宋体" w:cs="Times New Roman"/>
          <w:b/>
          <w:sz w:val="30"/>
          <w:szCs w:val="30"/>
        </w:rPr>
        <w:br/>
      </w:r>
    </w:p>
    <w:p w:rsidR="000A0524" w:rsidRPr="000A0524" w:rsidRDefault="000A0524" w:rsidP="000A0524">
      <w:pPr>
        <w:spacing w:line="360" w:lineRule="auto"/>
        <w:jc w:val="left"/>
        <w:rPr>
          <w:rFonts w:ascii="宋体" w:eastAsia="宋体" w:hAnsi="宋体" w:cs="Times New Roman"/>
          <w:sz w:val="24"/>
        </w:rPr>
      </w:pPr>
      <w:r w:rsidRPr="000A0524">
        <w:rPr>
          <w:rFonts w:ascii="宋体" w:eastAsia="宋体" w:hAnsi="宋体" w:cs="Times New Roman" w:hint="eastAsia"/>
          <w:sz w:val="24"/>
        </w:rPr>
        <w:t>甲方（客户）：</w:t>
      </w:r>
      <w:r w:rsidRPr="000A0524">
        <w:rPr>
          <w:rFonts w:ascii="仿宋_GB2312" w:eastAsia="仿宋_GB2312" w:hAnsi="Calibri" w:cs="仿宋_GB2312" w:hint="eastAsia"/>
          <w:kern w:val="0"/>
          <w:sz w:val="28"/>
          <w:szCs w:val="28"/>
          <w:u w:val="single"/>
        </w:rPr>
        <w:t xml:space="preserve">                                                </w:t>
      </w:r>
      <w:r w:rsidRPr="000A0524">
        <w:rPr>
          <w:rFonts w:ascii="宋体" w:eastAsia="宋体" w:hAnsi="宋体" w:cs="Times New Roman" w:hint="eastAsia"/>
          <w:sz w:val="24"/>
        </w:rPr>
        <w:t xml:space="preserve">                                        </w:t>
      </w:r>
    </w:p>
    <w:p w:rsidR="000A0524" w:rsidRPr="000A0524" w:rsidRDefault="000A0524" w:rsidP="000A0524">
      <w:pPr>
        <w:spacing w:line="360" w:lineRule="auto"/>
        <w:jc w:val="left"/>
        <w:rPr>
          <w:rFonts w:ascii="宋体" w:eastAsia="宋体" w:hAnsi="宋体" w:cs="Times New Roman"/>
          <w:sz w:val="24"/>
        </w:rPr>
      </w:pPr>
      <w:r w:rsidRPr="000A0524">
        <w:rPr>
          <w:rFonts w:ascii="宋体" w:eastAsia="宋体" w:hAnsi="宋体" w:cs="Times New Roman" w:hint="eastAsia"/>
          <w:sz w:val="24"/>
        </w:rPr>
        <w:t>个人身份证/公司营业执照 ：</w:t>
      </w:r>
      <w:r w:rsidRPr="000A0524">
        <w:rPr>
          <w:rFonts w:ascii="仿宋_GB2312" w:eastAsia="仿宋_GB2312" w:hAnsi="Calibri" w:cs="仿宋_GB2312" w:hint="eastAsia"/>
          <w:kern w:val="0"/>
          <w:sz w:val="28"/>
          <w:szCs w:val="28"/>
          <w:u w:val="single"/>
        </w:rPr>
        <w:t xml:space="preserve">                                         </w:t>
      </w:r>
      <w:r w:rsidRPr="000A0524">
        <w:rPr>
          <w:rFonts w:ascii="宋体" w:eastAsia="宋体" w:hAnsi="宋体" w:cs="Times New Roman" w:hint="eastAsia"/>
          <w:sz w:val="24"/>
        </w:rPr>
        <w:t xml:space="preserve">                                                         </w:t>
      </w:r>
    </w:p>
    <w:p w:rsidR="000A0524" w:rsidRPr="000A0524" w:rsidRDefault="000A0524" w:rsidP="000A0524">
      <w:pPr>
        <w:spacing w:line="360" w:lineRule="auto"/>
        <w:jc w:val="left"/>
        <w:rPr>
          <w:rFonts w:ascii="宋体" w:eastAsia="宋体" w:hAnsi="宋体" w:cs="Times New Roman"/>
          <w:sz w:val="24"/>
        </w:rPr>
      </w:pPr>
      <w:r w:rsidRPr="000A0524">
        <w:rPr>
          <w:rFonts w:ascii="宋体" w:eastAsia="宋体" w:hAnsi="宋体" w:cs="Times New Roman" w:hint="eastAsia"/>
          <w:sz w:val="24"/>
        </w:rPr>
        <w:t>法定代表人（限机构投资者）：</w:t>
      </w:r>
      <w:r w:rsidRPr="000A0524">
        <w:rPr>
          <w:rFonts w:ascii="仿宋_GB2312" w:eastAsia="仿宋_GB2312" w:hAnsi="Calibri" w:cs="仿宋_GB2312" w:hint="eastAsia"/>
          <w:kern w:val="0"/>
          <w:sz w:val="28"/>
          <w:szCs w:val="28"/>
          <w:u w:val="single"/>
        </w:rPr>
        <w:t xml:space="preserve">                                           </w:t>
      </w:r>
      <w:r w:rsidRPr="000A0524">
        <w:rPr>
          <w:rFonts w:ascii="宋体" w:eastAsia="宋体" w:hAnsi="宋体" w:cs="Times New Roman" w:hint="eastAsia"/>
          <w:sz w:val="24"/>
        </w:rPr>
        <w:t xml:space="preserve">                                 </w:t>
      </w:r>
    </w:p>
    <w:p w:rsidR="000A0524" w:rsidRPr="000A0524" w:rsidRDefault="000A0524" w:rsidP="000A0524">
      <w:pPr>
        <w:spacing w:line="360" w:lineRule="auto"/>
        <w:jc w:val="left"/>
        <w:rPr>
          <w:rFonts w:ascii="宋体" w:eastAsia="宋体" w:hAnsi="宋体" w:cs="Times New Roman"/>
          <w:sz w:val="24"/>
        </w:rPr>
      </w:pPr>
      <w:r w:rsidRPr="000A0524">
        <w:rPr>
          <w:rFonts w:ascii="宋体" w:eastAsia="宋体" w:hAnsi="宋体" w:cs="Times New Roman" w:hint="eastAsia"/>
          <w:sz w:val="24"/>
        </w:rPr>
        <w:t>客户代码：</w:t>
      </w:r>
      <w:r w:rsidRPr="000A0524">
        <w:rPr>
          <w:rFonts w:ascii="仿宋_GB2312" w:eastAsia="仿宋_GB2312" w:hAnsi="Calibri" w:cs="仿宋_GB2312" w:hint="eastAsia"/>
          <w:kern w:val="0"/>
          <w:sz w:val="28"/>
          <w:szCs w:val="28"/>
          <w:u w:val="single"/>
        </w:rPr>
        <w:t xml:space="preserve">                                                   </w:t>
      </w:r>
      <w:r w:rsidRPr="000A0524">
        <w:rPr>
          <w:rFonts w:ascii="宋体" w:eastAsia="宋体" w:hAnsi="宋体" w:cs="Times New Roman" w:hint="eastAsia"/>
          <w:sz w:val="24"/>
        </w:rPr>
        <w:t xml:space="preserve">                                    </w:t>
      </w:r>
    </w:p>
    <w:p w:rsidR="000A0524" w:rsidRPr="000A0524" w:rsidRDefault="000A0524" w:rsidP="000A0524">
      <w:pPr>
        <w:spacing w:line="360" w:lineRule="auto"/>
        <w:jc w:val="left"/>
        <w:rPr>
          <w:rFonts w:ascii="宋体" w:eastAsia="宋体" w:hAnsi="宋体" w:cs="Times New Roman"/>
          <w:sz w:val="24"/>
        </w:rPr>
      </w:pPr>
    </w:p>
    <w:p w:rsidR="000A0524" w:rsidRPr="000A0524" w:rsidRDefault="000A0524" w:rsidP="000A0524">
      <w:pPr>
        <w:spacing w:line="360" w:lineRule="auto"/>
        <w:jc w:val="left"/>
        <w:rPr>
          <w:rFonts w:ascii="宋体" w:eastAsia="宋体" w:hAnsi="宋体" w:cs="Times New Roman"/>
          <w:sz w:val="24"/>
        </w:rPr>
      </w:pPr>
      <w:r w:rsidRPr="000A0524">
        <w:rPr>
          <w:rFonts w:ascii="宋体" w:eastAsia="宋体" w:hAnsi="宋体" w:cs="Times New Roman" w:hint="eastAsia"/>
          <w:sz w:val="24"/>
        </w:rPr>
        <w:t>乙方：中国中金财富证券有限公司</w:t>
      </w:r>
    </w:p>
    <w:p w:rsidR="000A0524" w:rsidRPr="000A0524" w:rsidRDefault="000A0524" w:rsidP="000A0524">
      <w:pPr>
        <w:spacing w:line="360" w:lineRule="auto"/>
        <w:jc w:val="left"/>
        <w:rPr>
          <w:rFonts w:ascii="宋体" w:eastAsia="宋体" w:hAnsi="宋体" w:cs="Times New Roman"/>
          <w:sz w:val="24"/>
        </w:rPr>
      </w:pPr>
      <w:r w:rsidRPr="000A0524">
        <w:rPr>
          <w:rFonts w:ascii="宋体" w:eastAsia="宋体" w:hAnsi="宋体" w:cs="Times New Roman" w:hint="eastAsia"/>
          <w:sz w:val="24"/>
        </w:rPr>
        <w:t>法定代表人：</w:t>
      </w:r>
      <w:r w:rsidRPr="000A0524" w:rsidDel="007D39DB">
        <w:rPr>
          <w:rFonts w:ascii="宋体" w:eastAsia="宋体" w:hAnsi="宋体" w:cs="Times New Roman" w:hint="eastAsia"/>
          <w:sz w:val="24"/>
        </w:rPr>
        <w:t xml:space="preserve"> </w:t>
      </w:r>
      <w:r w:rsidRPr="000A0524">
        <w:rPr>
          <w:rFonts w:ascii="宋体" w:eastAsia="宋体" w:hAnsi="宋体" w:cs="Times New Roman" w:hint="eastAsia"/>
          <w:sz w:val="24"/>
        </w:rPr>
        <w:t>高涛</w:t>
      </w:r>
    </w:p>
    <w:p w:rsidR="000A0524" w:rsidRPr="000A0524" w:rsidRDefault="000A0524" w:rsidP="000A0524">
      <w:pPr>
        <w:spacing w:line="360" w:lineRule="auto"/>
        <w:jc w:val="left"/>
        <w:rPr>
          <w:rFonts w:ascii="宋体" w:eastAsia="宋体" w:hAnsi="宋体" w:cs="Times New Roman"/>
          <w:sz w:val="24"/>
        </w:rPr>
      </w:pPr>
      <w:r w:rsidRPr="000A0524">
        <w:rPr>
          <w:rFonts w:ascii="宋体" w:eastAsia="宋体" w:hAnsi="宋体" w:cs="Times New Roman" w:hint="eastAsia"/>
          <w:sz w:val="24"/>
        </w:rPr>
        <w:t>住所：广东省深圳市福田区益田路6003号荣超商务中心18-21楼</w:t>
      </w:r>
    </w:p>
    <w:p w:rsidR="000A0524" w:rsidRPr="000A0524" w:rsidRDefault="000A0524" w:rsidP="000A0524">
      <w:pPr>
        <w:spacing w:line="360" w:lineRule="auto"/>
        <w:jc w:val="left"/>
        <w:rPr>
          <w:rFonts w:ascii="宋体" w:eastAsia="宋体" w:hAnsi="宋体" w:cs="Times New Roman"/>
          <w:sz w:val="24"/>
        </w:rPr>
      </w:pPr>
      <w:r w:rsidRPr="000A0524">
        <w:rPr>
          <w:rFonts w:ascii="宋体" w:eastAsia="宋体" w:hAnsi="宋体" w:cs="Times New Roman" w:hint="eastAsia"/>
          <w:sz w:val="24"/>
        </w:rPr>
        <w:t>联系电话：4006008008/95532</w:t>
      </w:r>
    </w:p>
    <w:p w:rsidR="000A0524" w:rsidRPr="000A0524" w:rsidRDefault="000A0524" w:rsidP="000A0524">
      <w:pPr>
        <w:spacing w:line="360" w:lineRule="auto"/>
        <w:rPr>
          <w:rFonts w:ascii="宋体" w:eastAsia="宋体" w:hAnsi="宋体" w:cs="Times New Roman"/>
          <w:sz w:val="24"/>
        </w:rPr>
      </w:pPr>
    </w:p>
    <w:p w:rsidR="000A0524" w:rsidRPr="000A0524" w:rsidRDefault="000A0524" w:rsidP="000A0524">
      <w:pPr>
        <w:spacing w:line="360" w:lineRule="auto"/>
        <w:ind w:firstLineChars="200" w:firstLine="480"/>
        <w:rPr>
          <w:rFonts w:ascii="宋体" w:eastAsia="宋体" w:hAnsi="宋体" w:cs="Times New Roman"/>
          <w:sz w:val="24"/>
        </w:rPr>
      </w:pPr>
      <w:r w:rsidRPr="000A0524">
        <w:rPr>
          <w:rFonts w:ascii="Calibri" w:eastAsia="宋体" w:hAnsi="Calibri" w:cs="Times New Roman" w:hint="eastAsia"/>
          <w:sz w:val="24"/>
        </w:rPr>
        <w:t>依照《中华人民共和国民法典》《中华人民共和国证券法》《证券公司监督管理条例》《证券公司融资融券业务管理办法》（以下简称《管理办法》）等法律、行政法规及中国证监会其他规范性文件、证券交易所和证券登记结算机构业务规则、乙方相关业务规则等的规定，甲乙双方</w:t>
      </w:r>
      <w:r w:rsidRPr="000A0524">
        <w:rPr>
          <w:rFonts w:ascii="宋体" w:eastAsia="宋体" w:hAnsi="宋体" w:cs="Times New Roman" w:hint="eastAsia"/>
          <w:sz w:val="24"/>
        </w:rPr>
        <w:t>经友好协商，在平等自愿、诚实信用的基础上，就乙方为甲方提供融资融券业务的相关事宜达成如下合同，供双方遵守。</w:t>
      </w:r>
    </w:p>
    <w:p w:rsidR="000A0524" w:rsidRPr="000A0524" w:rsidRDefault="000A0524" w:rsidP="000A0524">
      <w:pPr>
        <w:numPr>
          <w:ilvl w:val="0"/>
          <w:numId w:val="3"/>
        </w:numPr>
        <w:spacing w:line="360" w:lineRule="auto"/>
        <w:jc w:val="center"/>
        <w:rPr>
          <w:rFonts w:ascii="宋体" w:eastAsia="宋体" w:hAnsi="宋体" w:cs="Times New Roman"/>
          <w:b/>
          <w:sz w:val="24"/>
        </w:rPr>
      </w:pPr>
      <w:r w:rsidRPr="000A0524">
        <w:rPr>
          <w:rFonts w:ascii="宋体" w:eastAsia="宋体" w:hAnsi="宋体" w:cs="Times New Roman" w:hint="eastAsia"/>
          <w:b/>
          <w:sz w:val="24"/>
        </w:rPr>
        <w:t>释义</w:t>
      </w:r>
    </w:p>
    <w:p w:rsidR="000A0524" w:rsidRPr="000A0524" w:rsidRDefault="000A0524" w:rsidP="000A0524">
      <w:pPr>
        <w:numPr>
          <w:ilvl w:val="1"/>
          <w:numId w:val="3"/>
        </w:numPr>
        <w:tabs>
          <w:tab w:val="num" w:pos="1418"/>
        </w:tabs>
        <w:spacing w:line="360" w:lineRule="auto"/>
        <w:rPr>
          <w:rFonts w:ascii="宋体" w:eastAsia="宋体" w:hAnsi="宋体" w:cs="Times New Roman"/>
          <w:sz w:val="24"/>
        </w:rPr>
      </w:pPr>
      <w:r w:rsidRPr="000A0524">
        <w:rPr>
          <w:rFonts w:ascii="宋体" w:eastAsia="宋体" w:hAnsi="宋体" w:cs="Times New Roman" w:hint="eastAsia"/>
          <w:bCs/>
          <w:sz w:val="24"/>
        </w:rPr>
        <w:t>除非本合同另有解释或说明,下列词语或简称具有如下含义：</w:t>
      </w:r>
    </w:p>
    <w:p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融资交易：是指甲方以其信用账户的资金或证券作为担保物，向乙方申请融资买入证券，乙方在与证券登记结算公司清算交收时为甲方垫付资金，甲方融资买入的证券作为向乙方融资的担保物。</w:t>
      </w:r>
    </w:p>
    <w:p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融券交易：是指甲方以其信用账户的资金或证券作为担保物，向乙方申请融券卖出，乙方在与证券登记结算公司清算交收时为甲方垫付证券，甲方融券卖出所得资金作为向乙方融券的担保物，在了结相关融券交易之前，卖券所得资金除证券</w:t>
      </w:r>
      <w:r w:rsidRPr="000A0524">
        <w:rPr>
          <w:rFonts w:ascii="宋体" w:eastAsia="宋体" w:hAnsi="宋体" w:cs="Times New Roman"/>
          <w:sz w:val="24"/>
        </w:rPr>
        <w:t>交易所规定的用途外</w:t>
      </w:r>
      <w:r w:rsidRPr="000A0524">
        <w:rPr>
          <w:rFonts w:ascii="宋体" w:eastAsia="宋体" w:hAnsi="宋体" w:cs="Times New Roman" w:hint="eastAsia"/>
          <w:sz w:val="24"/>
        </w:rPr>
        <w:t>，</w:t>
      </w:r>
      <w:r w:rsidRPr="000A0524">
        <w:rPr>
          <w:rFonts w:ascii="宋体" w:eastAsia="宋体" w:hAnsi="宋体" w:cs="Times New Roman"/>
          <w:sz w:val="24"/>
        </w:rPr>
        <w:t>不得另做他用</w:t>
      </w:r>
      <w:r w:rsidRPr="000A0524">
        <w:rPr>
          <w:rFonts w:ascii="宋体" w:eastAsia="宋体" w:hAnsi="宋体" w:cs="Times New Roman" w:hint="eastAsia"/>
          <w:sz w:val="24"/>
        </w:rPr>
        <w:t>。</w:t>
      </w:r>
    </w:p>
    <w:p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lastRenderedPageBreak/>
        <w:t>“授信额度”：指乙方根据甲方的资信状况、担保物价值、履约情况、市场变化、乙方财务安排等因素综合确定的甲方可融资融券额的最高限额。甲方融资融券的总额不得超过授信额度，该限额可以为零。</w:t>
      </w:r>
    </w:p>
    <w:p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“客户信用交易担保证券账户”：</w:t>
      </w:r>
      <w:r w:rsidRPr="000A0524" w:rsidDel="00E556BD">
        <w:rPr>
          <w:rFonts w:ascii="宋体" w:eastAsia="宋体" w:hAnsi="宋体" w:cs="Times New Roman" w:hint="eastAsia"/>
          <w:sz w:val="24"/>
        </w:rPr>
        <w:t xml:space="preserve"> </w:t>
      </w:r>
      <w:r w:rsidRPr="000A0524">
        <w:rPr>
          <w:rFonts w:ascii="宋体" w:eastAsia="宋体" w:hAnsi="宋体" w:cs="Times New Roman" w:hint="eastAsia"/>
          <w:sz w:val="24"/>
        </w:rPr>
        <w:t>也称客户证券担保账户，指乙方以自己的名义在证券登记结算机构开立的，专用于记录甲方委托乙方持有相关证券以担保乙方因向甲方融出资金或证券所生债权的证券账户。</w:t>
      </w:r>
    </w:p>
    <w:p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“客户信用交易担保资金账户”：也称客户资金担保账户，指乙方以自己的名义在商业银行开立的，专用于存放甲方委托乙方持有的相关资金以担保乙方因向客户融出资金或证券所生债权的资金账户。</w:t>
      </w:r>
    </w:p>
    <w:p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信用资金账户”：是指甲方在乙方第三方存管银行开立的专门用于记载甲方缴存担保资金的明细数据的实名资金账户（此账户为乙方“中国中金财富证券有限公司客户信用交易担保资金账户”的二级明细账户）。</w:t>
      </w:r>
    </w:p>
    <w:p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“信用证券账户”：是指甲方向乙方申请开立的用于记载甲方委托乙方持有的担保证券的明细数据的实名证券账户（此账户为乙方“中国中金财富证券有限公司客户信用交易担保证券账户”的二级明细账户）。</w:t>
      </w:r>
    </w:p>
    <w:p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“融券专用证券账户”：是指乙方以自己的名义，在证券登记结算公司开立的用于记录乙方持有的拟向客户融出的证券和客户归还的证券的账户。融券专用证券账户不可用于证券买卖。</w:t>
      </w:r>
    </w:p>
    <w:p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“融资专用资金账户”：是指乙方以自己的名义，在商业银行开立的用于存放乙方拟向客户融出的资金及客户归还的资金的账户。</w:t>
      </w:r>
    </w:p>
    <w:p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“信用交易证券交收账户”：是指乙方以自己的名义，在证券登记结算公司开立的用于客户融资融券交易的证券结算的账户。</w:t>
      </w:r>
    </w:p>
    <w:p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“信用交易资金交收账户”：是指乙方以自己的名义，在证券登记结算公司开立的用于客户融资融券交易的资金结算的账户。</w:t>
      </w:r>
    </w:p>
    <w:p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“保证金”：是指甲方向乙方申请融资或融券，应当向乙方提交一定比例的保证金。保证金可以用现金和乙方认可的证券充抵。可充抵保证金证券名单以乙方公布为准。</w:t>
      </w:r>
    </w:p>
    <w:p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“担保物”：是指甲方信用资金账户及信用证券账户中提交的保证金（现金及可充抵保证金的证券）、融资买入的证券和融券卖出所得的全部资金及</w:t>
      </w:r>
      <w:r w:rsidRPr="000A0524">
        <w:rPr>
          <w:rFonts w:ascii="宋体" w:eastAsia="宋体" w:hAnsi="宋体" w:cs="Times New Roman" w:hint="eastAsia"/>
          <w:sz w:val="24"/>
        </w:rPr>
        <w:lastRenderedPageBreak/>
        <w:t>上述资金、证券所产生的孳息等，以及甲方经乙方认可后提交的除现金及信用证券账户内证券以外的其他担保物。</w:t>
      </w:r>
    </w:p>
    <w:p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标的证券”：是指经上海、深圳证券交易所及乙方认可的可作为融资买入或融券卖出的证券，包括符合规定的股票、证券投资基金、债券等，以乙方不时确定并公布的融资买入标的证券名单和融券卖出标的证券名单为准。</w:t>
      </w:r>
    </w:p>
    <w:p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“担保证券”：是指经上海、深圳证券交易所及乙方认可的可作为信用证券账户中可充保证金证券，包括符合规定的股票、证券投资基金、债券等。</w:t>
      </w:r>
    </w:p>
    <w:p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“可充抵保证金证券折算率”：是指在计算保证金金额时，甲方提交的作为充抵保证金的证券按其证券市值折算为保证金的比率。乙方有权对可充抵保证金证券折算率实行动态管理和差异化控制, 具体折算率数值以乙方公告为准。</w:t>
      </w:r>
    </w:p>
    <w:p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“保证金比例”：其中融资保证金比例是指甲方融资买入时交付的保证金与融资交易金额的比例，融券保证金比例是指甲方融券卖出时交付的保证金与融券交易金额的比例，计算公式分别为：</w:t>
      </w:r>
    </w:p>
    <w:p w:rsidR="000A0524" w:rsidRPr="000A0524" w:rsidRDefault="000A0524" w:rsidP="000A0524">
      <w:pPr>
        <w:spacing w:line="360" w:lineRule="auto"/>
        <w:ind w:left="426"/>
        <w:rPr>
          <w:rFonts w:ascii="宋体" w:eastAsia="宋体" w:hAnsi="宋体" w:cs="Times New Roman"/>
          <w:sz w:val="24"/>
        </w:rPr>
      </w:pPr>
      <w:r w:rsidRPr="000A0524">
        <w:rPr>
          <w:rFonts w:ascii="宋体" w:eastAsia="宋体" w:hAnsi="宋体" w:cs="Times New Roman"/>
          <w:sz w:val="24"/>
        </w:rPr>
        <w:t>融资保证金比例＝保证金/（融资买入证券数量×买入价格）×100%</w:t>
      </w:r>
    </w:p>
    <w:p w:rsidR="000A0524" w:rsidRPr="000A0524" w:rsidRDefault="000A0524" w:rsidP="000A0524">
      <w:pPr>
        <w:spacing w:line="360" w:lineRule="auto"/>
        <w:ind w:left="426"/>
        <w:rPr>
          <w:rFonts w:ascii="宋体" w:eastAsia="宋体" w:hAnsi="宋体" w:cs="Times New Roman"/>
          <w:sz w:val="24"/>
        </w:rPr>
      </w:pPr>
      <w:r w:rsidRPr="000A0524">
        <w:rPr>
          <w:rFonts w:ascii="宋体" w:eastAsia="宋体" w:hAnsi="宋体" w:cs="Times New Roman"/>
          <w:sz w:val="24"/>
        </w:rPr>
        <w:t>融券保证金比例＝保证金/（融券卖出证券数量×卖出价格）×100%</w:t>
      </w:r>
    </w:p>
    <w:p w:rsidR="000A0524" w:rsidRPr="000A0524" w:rsidRDefault="000A0524" w:rsidP="000A0524">
      <w:pPr>
        <w:spacing w:line="360" w:lineRule="auto"/>
        <w:ind w:firstLineChars="200" w:firstLine="480"/>
        <w:rPr>
          <w:rFonts w:ascii="宋体" w:eastAsia="宋体" w:hAnsi="宋体" w:cs="Times New Roman"/>
          <w:sz w:val="24"/>
        </w:rPr>
      </w:pPr>
      <w:r w:rsidRPr="000A0524">
        <w:rPr>
          <w:rFonts w:ascii="宋体" w:eastAsia="宋体" w:hAnsi="宋体" w:cs="Times New Roman" w:hint="eastAsia"/>
          <w:sz w:val="24"/>
        </w:rPr>
        <w:t>乙方有权确定、公布和调整融资保证金比例和融券保证金比例，具体数值以乙方公告为准。</w:t>
      </w:r>
    </w:p>
    <w:p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 xml:space="preserve"> “维持担保比例”：是指甲方担保物价值与其融资融券债务之间的比例，计算公式为：</w:t>
      </w:r>
    </w:p>
    <w:p w:rsidR="000A0524" w:rsidRPr="000A0524" w:rsidRDefault="000A0524" w:rsidP="000A0524">
      <w:pPr>
        <w:spacing w:line="360" w:lineRule="auto"/>
        <w:ind w:firstLineChars="200" w:firstLine="480"/>
        <w:rPr>
          <w:rFonts w:ascii="宋体" w:eastAsia="宋体" w:hAnsi="宋体" w:cs="Times New Roman"/>
          <w:sz w:val="24"/>
        </w:rPr>
      </w:pPr>
      <w:r w:rsidRPr="000A0524">
        <w:rPr>
          <w:rFonts w:ascii="宋体" w:eastAsia="宋体" w:hAnsi="宋体" w:cs="Times New Roman"/>
          <w:sz w:val="24"/>
        </w:rPr>
        <w:t>维持担保比例=（现金+信用证券账户内证券市值</w:t>
      </w:r>
      <w:r w:rsidRPr="000A0524">
        <w:rPr>
          <w:rFonts w:ascii="宋体" w:eastAsia="宋体" w:hAnsi="宋体" w:cs="Times New Roman" w:hint="eastAsia"/>
          <w:sz w:val="24"/>
        </w:rPr>
        <w:t>总和+其他担保物价值</w:t>
      </w:r>
      <w:r w:rsidRPr="000A0524">
        <w:rPr>
          <w:rFonts w:ascii="宋体" w:eastAsia="宋体" w:hAnsi="宋体" w:cs="Times New Roman"/>
          <w:sz w:val="24"/>
        </w:rPr>
        <w:t>）/(融资买入金额+融券卖出证券数量×</w:t>
      </w:r>
      <w:r w:rsidRPr="000A0524">
        <w:rPr>
          <w:rFonts w:ascii="宋体" w:eastAsia="宋体" w:hAnsi="宋体" w:cs="Times New Roman" w:hint="eastAsia"/>
          <w:sz w:val="24"/>
        </w:rPr>
        <w:t>当前</w:t>
      </w:r>
      <w:r w:rsidRPr="000A0524">
        <w:rPr>
          <w:rFonts w:ascii="宋体" w:eastAsia="宋体" w:hAnsi="宋体" w:cs="Times New Roman"/>
          <w:sz w:val="24"/>
        </w:rPr>
        <w:t>市价＋利息及费用</w:t>
      </w:r>
      <w:r w:rsidRPr="000A0524">
        <w:rPr>
          <w:rFonts w:ascii="宋体" w:eastAsia="宋体" w:hAnsi="宋体" w:cs="Times New Roman" w:hint="eastAsia"/>
          <w:sz w:val="24"/>
        </w:rPr>
        <w:t>总和</w:t>
      </w:r>
      <w:r w:rsidRPr="000A0524">
        <w:rPr>
          <w:rFonts w:ascii="宋体" w:eastAsia="宋体" w:hAnsi="宋体" w:cs="Times New Roman"/>
          <w:sz w:val="24"/>
        </w:rPr>
        <w:t>)</w:t>
      </w:r>
      <w:r w:rsidRPr="000A0524">
        <w:rPr>
          <w:rFonts w:ascii="宋体" w:eastAsia="宋体" w:hAnsi="宋体" w:cs="Times New Roman" w:hint="eastAsia"/>
          <w:sz w:val="24"/>
        </w:rPr>
        <w:t>×100%</w:t>
      </w:r>
    </w:p>
    <w:p w:rsidR="000A0524" w:rsidRPr="000A0524" w:rsidRDefault="000A0524" w:rsidP="000A0524">
      <w:pPr>
        <w:spacing w:line="360" w:lineRule="auto"/>
        <w:ind w:firstLineChars="200" w:firstLine="480"/>
        <w:rPr>
          <w:rFonts w:ascii="宋体" w:eastAsia="宋体" w:hAnsi="宋体" w:cs="Times New Roman"/>
          <w:sz w:val="24"/>
        </w:rPr>
      </w:pPr>
      <w:r w:rsidRPr="000A0524">
        <w:rPr>
          <w:rFonts w:ascii="宋体" w:eastAsia="宋体" w:hAnsi="宋体" w:cs="Times New Roman" w:hint="eastAsia"/>
          <w:sz w:val="24"/>
        </w:rPr>
        <w:t>公式中：其他担保物价值是指甲方维持担保比例低于平仓线时，甲方经乙方认可后提交的除现金及信用证券账户内证券以外的其他担保物，其价值根据甲乙双方约定的估值方式或双方认可的估值结果确定。</w:t>
      </w:r>
    </w:p>
    <w:p w:rsidR="000A0524" w:rsidRPr="000A0524" w:rsidRDefault="000A0524" w:rsidP="000A0524">
      <w:pPr>
        <w:spacing w:line="360" w:lineRule="auto"/>
        <w:ind w:firstLineChars="200" w:firstLine="480"/>
        <w:rPr>
          <w:rFonts w:ascii="宋体" w:eastAsia="宋体" w:hAnsi="宋体" w:cs="Times New Roman"/>
          <w:sz w:val="24"/>
        </w:rPr>
      </w:pPr>
      <w:r w:rsidRPr="000A0524">
        <w:rPr>
          <w:rFonts w:ascii="宋体" w:eastAsia="宋体" w:hAnsi="宋体" w:cs="Times New Roman" w:hint="eastAsia"/>
          <w:sz w:val="24"/>
        </w:rPr>
        <w:t>本合同有效期内，甲方信用证券账户内证券出现被调出可充抵保证金证券范围、被暂停交易、被实施风险警示或者因权益处理等产生尚未到账的在途证券等特殊情形，乙方有权视情况按照本合同约定公允价值或其他定价方式对其市值进行调整，并据此计算甲方信用账户维持担保比例。上述调整通过乙方营业场所或</w:t>
      </w:r>
      <w:r w:rsidRPr="000A0524">
        <w:rPr>
          <w:rFonts w:ascii="宋体" w:eastAsia="宋体" w:hAnsi="宋体" w:cs="Times New Roman" w:hint="eastAsia"/>
          <w:sz w:val="24"/>
        </w:rPr>
        <w:lastRenderedPageBreak/>
        <w:t>网站进行公告。甲方应当及时关注乙方公告，及甲方信用账户维持担保比例，并及时调整、追加担保物或调整持仓。</w:t>
      </w:r>
    </w:p>
    <w:p w:rsidR="000A0524" w:rsidRPr="000A0524" w:rsidRDefault="000A0524" w:rsidP="000A0524">
      <w:pPr>
        <w:spacing w:line="360" w:lineRule="auto"/>
        <w:ind w:firstLineChars="200" w:firstLine="482"/>
        <w:rPr>
          <w:rFonts w:ascii="宋体" w:eastAsia="宋体" w:hAnsi="宋体" w:cs="Times New Roman"/>
          <w:sz w:val="24"/>
        </w:rPr>
      </w:pPr>
      <w:r w:rsidRPr="000A0524">
        <w:rPr>
          <w:rFonts w:ascii="宋体" w:eastAsia="宋体" w:hAnsi="宋体" w:cs="Times New Roman" w:hint="eastAsia"/>
          <w:b/>
          <w:sz w:val="24"/>
        </w:rPr>
        <w:t>对客户信用证券账户内不属于可充抵保证金证券范围的证券、被暂停交易、被实施风险警示等特殊情形或者因权益处理等产生尚未到账的在途证券，乙方在计算客户维持担保比例时，有权不计算证券市值并且该证券市值不计入维持担保比例中</w:t>
      </w:r>
      <w:r w:rsidRPr="000A0524">
        <w:rPr>
          <w:rFonts w:ascii="宋体" w:eastAsia="宋体" w:hAnsi="宋体" w:cs="Times New Roman" w:hint="eastAsia"/>
          <w:sz w:val="24"/>
        </w:rPr>
        <w:t>。</w:t>
      </w:r>
    </w:p>
    <w:p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保证金可用余额”：是指甲方用于充抵保证金的现金、证券市值、融资融券交易产生的浮盈经折算后形成的保证金总额，减去甲方未了结融资融券交易已用保证金和相关利息、费用的余额。保证金可用余额计算公式如下：</w:t>
      </w:r>
    </w:p>
    <w:p w:rsidR="000A0524" w:rsidRPr="000A0524" w:rsidRDefault="000A0524" w:rsidP="000A0524">
      <w:pPr>
        <w:spacing w:line="360" w:lineRule="auto"/>
        <w:ind w:leftChars="-13" w:left="-27" w:firstLineChars="200" w:firstLine="480"/>
        <w:rPr>
          <w:rFonts w:ascii="宋体" w:eastAsia="宋体" w:hAnsi="宋体" w:cs="Times New Roman"/>
          <w:sz w:val="24"/>
        </w:rPr>
      </w:pPr>
      <w:r w:rsidRPr="000A0524">
        <w:rPr>
          <w:rFonts w:ascii="宋体" w:eastAsia="宋体" w:hAnsi="宋体" w:cs="Times New Roman" w:hint="eastAsia"/>
          <w:sz w:val="24"/>
        </w:rPr>
        <w:t>保证金可用余额＝现金+∑（充抵保证金的证券市值×折算率）+∑［（融资买入证券市值－融资买入金额）×折算率］＋∑［（融券卖出金额－融券卖出证券市值）×折算率］－∑融券卖出金额－∑融资买入证券金额×融资保证金比例－∑融券卖出证券市值×融券保证金比例－利息及费用</w:t>
      </w:r>
    </w:p>
    <w:p w:rsidR="000A0524" w:rsidRPr="000A0524" w:rsidRDefault="000A0524" w:rsidP="000A0524">
      <w:pPr>
        <w:spacing w:line="360" w:lineRule="auto"/>
        <w:ind w:leftChars="-13" w:left="-27" w:firstLineChars="200" w:firstLine="480"/>
        <w:rPr>
          <w:rFonts w:ascii="宋体" w:eastAsia="宋体" w:hAnsi="宋体" w:cs="Times New Roman"/>
          <w:sz w:val="24"/>
        </w:rPr>
      </w:pPr>
      <w:r w:rsidRPr="000A0524">
        <w:rPr>
          <w:rFonts w:ascii="宋体" w:eastAsia="宋体" w:hAnsi="宋体" w:cs="Times New Roman" w:hint="eastAsia"/>
          <w:sz w:val="24"/>
        </w:rPr>
        <w:t>公式中，融券卖出金额=融券卖出证券的数量×卖出价格，融券卖出证券市值=融券卖出证券数量×市价，融券卖出证券数量指融券卖出后尚未偿还的证券数量；∑［（融资买入证券市值－融资买入金额）×折算率］、∑［（融券卖出金额－融券卖出证券市值）×折算率］中的折算率是指融资买入、融券卖出证券对应的折算率，当融资买入证券市值低于融资买入金额或融券卖出证券市值高于融券卖出金额时，折算率按100%计算。</w:t>
      </w:r>
    </w:p>
    <w:p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“预警线”：是指</w:t>
      </w:r>
      <w:r w:rsidRPr="000A0524">
        <w:rPr>
          <w:rFonts w:ascii="宋体" w:eastAsia="宋体" w:hAnsi="宋体" w:cs="宋体" w:hint="eastAsia"/>
          <w:kern w:val="0"/>
          <w:sz w:val="24"/>
        </w:rPr>
        <w:t>甲乙双方约定的某一</w:t>
      </w:r>
      <w:r w:rsidRPr="000A0524">
        <w:rPr>
          <w:rFonts w:ascii="宋体" w:eastAsia="宋体" w:hAnsi="宋体" w:cs="宋体"/>
          <w:kern w:val="0"/>
          <w:sz w:val="24"/>
        </w:rPr>
        <w:t>维持担保</w:t>
      </w:r>
      <w:r w:rsidRPr="000A0524">
        <w:rPr>
          <w:rFonts w:ascii="宋体" w:eastAsia="宋体" w:hAnsi="宋体" w:cs="宋体" w:hint="eastAsia"/>
          <w:kern w:val="0"/>
          <w:sz w:val="24"/>
        </w:rPr>
        <w:t>比例，本合同中约定为150%，当日收市后当甲方信用账户维持担保比例小于该比例，甲方应关注其信用账户面临的风险。预警线的维持担保比例由乙方确定、公布，如有更改以</w:t>
      </w:r>
      <w:r w:rsidRPr="000A0524">
        <w:rPr>
          <w:rFonts w:ascii="宋体" w:eastAsia="宋体" w:hAnsi="宋体" w:cs="Times New Roman" w:hint="eastAsia"/>
          <w:sz w:val="24"/>
          <w:szCs w:val="24"/>
        </w:rPr>
        <w:t>乙方公告为准</w:t>
      </w:r>
      <w:r w:rsidRPr="000A0524">
        <w:rPr>
          <w:rFonts w:ascii="宋体" w:eastAsia="宋体" w:hAnsi="宋体" w:cs="宋体" w:hint="eastAsia"/>
          <w:kern w:val="0"/>
          <w:sz w:val="24"/>
        </w:rPr>
        <w:t>。</w:t>
      </w:r>
    </w:p>
    <w:p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宋体" w:hint="eastAsia"/>
          <w:kern w:val="0"/>
          <w:sz w:val="24"/>
        </w:rPr>
        <w:t>“警戒线”</w:t>
      </w:r>
      <w:r w:rsidRPr="000A0524">
        <w:rPr>
          <w:rFonts w:ascii="宋体" w:eastAsia="宋体" w:hAnsi="宋体" w:cs="Times New Roman" w:hint="eastAsia"/>
          <w:sz w:val="24"/>
        </w:rPr>
        <w:t>：</w:t>
      </w:r>
      <w:r w:rsidRPr="000A0524">
        <w:rPr>
          <w:rFonts w:ascii="宋体" w:eastAsia="宋体" w:hAnsi="宋体" w:cs="宋体" w:hint="eastAsia"/>
          <w:kern w:val="0"/>
          <w:sz w:val="24"/>
        </w:rPr>
        <w:t>是指甲乙双方约定的某一</w:t>
      </w:r>
      <w:r w:rsidRPr="000A0524">
        <w:rPr>
          <w:rFonts w:ascii="宋体" w:eastAsia="宋体" w:hAnsi="宋体" w:cs="宋体"/>
          <w:kern w:val="0"/>
          <w:sz w:val="24"/>
        </w:rPr>
        <w:t>维持担保</w:t>
      </w:r>
      <w:r w:rsidRPr="000A0524">
        <w:rPr>
          <w:rFonts w:ascii="宋体" w:eastAsia="宋体" w:hAnsi="宋体" w:cs="宋体" w:hint="eastAsia"/>
          <w:kern w:val="0"/>
          <w:sz w:val="24"/>
        </w:rPr>
        <w:t>比例，本合同中约定为140%，当日收市后当甲方信用账户维持担保比例小于平仓线时需补充担保物或了结合约后使其维持担保比例回升到的比例。警戒线的维持担保比例比值由乙方确定、公布，如有更改以</w:t>
      </w:r>
      <w:r w:rsidRPr="000A0524">
        <w:rPr>
          <w:rFonts w:ascii="宋体" w:eastAsia="宋体" w:hAnsi="宋体" w:cs="Times New Roman" w:hint="eastAsia"/>
          <w:sz w:val="24"/>
          <w:szCs w:val="24"/>
        </w:rPr>
        <w:t>乙方公告为准</w:t>
      </w:r>
      <w:r w:rsidRPr="000A0524">
        <w:rPr>
          <w:rFonts w:ascii="宋体" w:eastAsia="宋体" w:hAnsi="宋体" w:cs="宋体" w:hint="eastAsia"/>
          <w:kern w:val="0"/>
          <w:sz w:val="24"/>
        </w:rPr>
        <w:t>。</w:t>
      </w:r>
    </w:p>
    <w:p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宋体" w:hint="eastAsia"/>
          <w:kern w:val="0"/>
          <w:sz w:val="24"/>
        </w:rPr>
        <w:t>“平仓线”</w:t>
      </w:r>
      <w:r w:rsidRPr="000A0524">
        <w:rPr>
          <w:rFonts w:ascii="宋体" w:eastAsia="宋体" w:hAnsi="宋体" w:cs="Times New Roman" w:hint="eastAsia"/>
          <w:sz w:val="24"/>
        </w:rPr>
        <w:t>：</w:t>
      </w:r>
      <w:r w:rsidRPr="000A0524">
        <w:rPr>
          <w:rFonts w:ascii="宋体" w:eastAsia="宋体" w:hAnsi="宋体" w:cs="宋体" w:hint="eastAsia"/>
          <w:kern w:val="0"/>
          <w:sz w:val="24"/>
        </w:rPr>
        <w:t>是指甲乙双方约定的某一</w:t>
      </w:r>
      <w:r w:rsidRPr="000A0524">
        <w:rPr>
          <w:rFonts w:ascii="宋体" w:eastAsia="宋体" w:hAnsi="宋体" w:cs="宋体"/>
          <w:kern w:val="0"/>
          <w:sz w:val="24"/>
        </w:rPr>
        <w:t>维持担保</w:t>
      </w:r>
      <w:r w:rsidRPr="000A0524">
        <w:rPr>
          <w:rFonts w:ascii="宋体" w:eastAsia="宋体" w:hAnsi="宋体" w:cs="宋体" w:hint="eastAsia"/>
          <w:kern w:val="0"/>
          <w:sz w:val="24"/>
        </w:rPr>
        <w:t>比例，本合同中约定为130%，当日收市后甲方信用账户维持担保比例小于该比例时，甲方应在规定的</w:t>
      </w:r>
      <w:r w:rsidRPr="000A0524">
        <w:rPr>
          <w:rFonts w:ascii="宋体" w:eastAsia="宋体" w:hAnsi="宋体" w:cs="宋体" w:hint="eastAsia"/>
          <w:kern w:val="0"/>
          <w:sz w:val="24"/>
        </w:rPr>
        <w:lastRenderedPageBreak/>
        <w:t>时间内补充担保物或了结合约，使其信用账户的维持担保比例回升至警戒线以上，否则乙方有权对甲方客户信用资金账户和信用证券账户内的任何资产实施强制平仓措施。平仓线的维持担保比例由乙方确定、公布，如有更改以</w:t>
      </w:r>
      <w:r w:rsidRPr="000A0524">
        <w:rPr>
          <w:rFonts w:ascii="宋体" w:eastAsia="宋体" w:hAnsi="宋体" w:cs="Times New Roman" w:hint="eastAsia"/>
          <w:sz w:val="24"/>
          <w:szCs w:val="24"/>
        </w:rPr>
        <w:t>乙方公告为准</w:t>
      </w:r>
      <w:r w:rsidRPr="000A0524">
        <w:rPr>
          <w:rFonts w:ascii="宋体" w:eastAsia="宋体" w:hAnsi="宋体" w:cs="宋体" w:hint="eastAsia"/>
          <w:kern w:val="0"/>
          <w:sz w:val="24"/>
        </w:rPr>
        <w:t>。</w:t>
      </w:r>
    </w:p>
    <w:p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 xml:space="preserve"> “强制平仓”：是指根据法律、法规或规范性文件的相关规定或者本合同的约定，乙方为保护自身债权对甲方信用账户资产强制进行还款或还券操作，强制平仓所得资金和证券优先用于清偿担保债务后，剩余资金和证券分别记入甲方信用资金账户或信用证券账户。</w:t>
      </w:r>
    </w:p>
    <w:p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“融资交易费用”：是指甲方通过本合同项下融资进行证券交易应支付的交易费用，包括</w:t>
      </w:r>
      <w:r w:rsidRPr="000A0524">
        <w:rPr>
          <w:rFonts w:ascii="宋体" w:eastAsia="宋体" w:hAnsi="宋体" w:cs="Times New Roman"/>
          <w:sz w:val="24"/>
        </w:rPr>
        <w:t>佣金、过户费、</w:t>
      </w:r>
      <w:r w:rsidRPr="000A0524">
        <w:rPr>
          <w:rFonts w:ascii="宋体" w:eastAsia="宋体" w:hAnsi="宋体" w:cs="Times New Roman" w:hint="eastAsia"/>
          <w:sz w:val="24"/>
        </w:rPr>
        <w:t>经手费</w:t>
      </w:r>
      <w:r w:rsidRPr="000A0524">
        <w:rPr>
          <w:rFonts w:ascii="宋体" w:eastAsia="宋体" w:hAnsi="宋体" w:cs="Times New Roman"/>
          <w:sz w:val="24"/>
        </w:rPr>
        <w:t>等费用</w:t>
      </w:r>
      <w:r w:rsidRPr="000A0524">
        <w:rPr>
          <w:rFonts w:ascii="宋体" w:eastAsia="宋体" w:hAnsi="宋体" w:cs="Times New Roman" w:hint="eastAsia"/>
          <w:sz w:val="24"/>
        </w:rPr>
        <w:t>。</w:t>
      </w:r>
    </w:p>
    <w:p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“普通买入交易”：是指甲方在其信用证券账户中以其自有资金进行的买入担保证券的交易。</w:t>
      </w:r>
    </w:p>
    <w:p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“卖券还款”：是指甲方通过其信用证券账户申报卖券，结算时卖出证券所得资金直接划转至乙方融资专用资金账户的还款方式。</w:t>
      </w:r>
    </w:p>
    <w:p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sz w:val="24"/>
        </w:rPr>
        <w:t>“</w:t>
      </w:r>
      <w:r w:rsidRPr="000A0524">
        <w:rPr>
          <w:rFonts w:ascii="宋体" w:eastAsia="宋体" w:hAnsi="宋体" w:cs="Times New Roman" w:hint="eastAsia"/>
          <w:sz w:val="24"/>
        </w:rPr>
        <w:t>直接还款</w:t>
      </w:r>
      <w:r w:rsidRPr="000A0524">
        <w:rPr>
          <w:rFonts w:ascii="宋体" w:eastAsia="宋体" w:hAnsi="宋体" w:cs="Times New Roman"/>
          <w:sz w:val="24"/>
        </w:rPr>
        <w:t>”</w:t>
      </w:r>
      <w:r w:rsidRPr="000A0524">
        <w:rPr>
          <w:rFonts w:ascii="宋体" w:eastAsia="宋体" w:hAnsi="宋体" w:cs="Times New Roman" w:hint="eastAsia"/>
          <w:sz w:val="24"/>
        </w:rPr>
        <w:t>：指甲方向乙方提交直接还款的指令，向乙方偿还甲方所融入资金的还款方式。</w:t>
      </w:r>
    </w:p>
    <w:p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“买券还券”：是指甲方通过其信用证券账户申报买券，结算时买入证券直接划转至乙方融券专用证券账户的还券方式。</w:t>
      </w:r>
    </w:p>
    <w:p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sz w:val="24"/>
        </w:rPr>
        <w:t>“</w:t>
      </w:r>
      <w:r w:rsidRPr="000A0524">
        <w:rPr>
          <w:rFonts w:ascii="宋体" w:eastAsia="宋体" w:hAnsi="宋体" w:cs="Times New Roman" w:hint="eastAsia"/>
          <w:sz w:val="24"/>
        </w:rPr>
        <w:t>直接还券</w:t>
      </w:r>
      <w:r w:rsidRPr="000A0524">
        <w:rPr>
          <w:rFonts w:ascii="宋体" w:eastAsia="宋体" w:hAnsi="宋体" w:cs="Times New Roman"/>
          <w:sz w:val="24"/>
        </w:rPr>
        <w:t>”</w:t>
      </w:r>
      <w:r w:rsidRPr="000A0524">
        <w:rPr>
          <w:rFonts w:ascii="宋体" w:eastAsia="宋体" w:hAnsi="宋体" w:cs="Times New Roman" w:hint="eastAsia"/>
          <w:sz w:val="24"/>
        </w:rPr>
        <w:t>：指甲方在其信用证券账户中持有甲方融券交易标的证券时，向乙方提交直接还券的指令，向乙方偿还甲方所融入证券的还券方式。</w:t>
      </w:r>
    </w:p>
    <w:p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关于中国证监会《证券公司融资融券业务管理办法》和《证券公司监督管理条例》中关于融资融券业务有关账户表述的差异仅为名称上的不同。其对应关系为：《证券公司监督管理条例》中的“客户证券担保账户”、“客户资金担保账户”、“授信账户”分别对应于《证券公司融资融券业务管理办法》中的“客户信用交易担保证券账户”、“客户信用交易担保资金账户”、“客户信用证券账户和客户信用资金账户”。</w:t>
      </w:r>
      <w:r w:rsidRPr="000A0524" w:rsidDel="008F7E85">
        <w:rPr>
          <w:rFonts w:ascii="宋体" w:eastAsia="宋体" w:hAnsi="宋体" w:cs="Times New Roman" w:hint="eastAsia"/>
          <w:sz w:val="24"/>
        </w:rPr>
        <w:t xml:space="preserve"> </w:t>
      </w:r>
      <w:r w:rsidRPr="000A0524">
        <w:rPr>
          <w:rFonts w:ascii="宋体" w:eastAsia="宋体" w:hAnsi="宋体" w:cs="Times New Roman" w:hint="eastAsia"/>
          <w:sz w:val="24"/>
        </w:rPr>
        <w:t>“客户信用证券账户和客户信用资金账户”合称为“甲方信用账户”。</w:t>
      </w:r>
    </w:p>
    <w:p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中国证监会：是指中国证券监督管理委员会。</w:t>
      </w:r>
    </w:p>
    <w:p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bCs/>
          <w:sz w:val="24"/>
        </w:rPr>
        <w:t>证券交易所：是指上海证券交易所和深圳证券交易所。</w:t>
      </w:r>
    </w:p>
    <w:p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bCs/>
          <w:sz w:val="24"/>
        </w:rPr>
        <w:t>证券登记结算机构：是指中国证券登记结算有限责任公司及其分公</w:t>
      </w:r>
      <w:r w:rsidRPr="000A0524">
        <w:rPr>
          <w:rFonts w:ascii="宋体" w:eastAsia="宋体" w:hAnsi="宋体" w:cs="Times New Roman" w:hint="eastAsia"/>
          <w:bCs/>
          <w:sz w:val="24"/>
        </w:rPr>
        <w:lastRenderedPageBreak/>
        <w:t>司。</w:t>
      </w:r>
    </w:p>
    <w:p w:rsidR="000A0524" w:rsidRPr="000A0524" w:rsidRDefault="000A0524" w:rsidP="000A0524">
      <w:pPr>
        <w:autoSpaceDE w:val="0"/>
        <w:autoSpaceDN w:val="0"/>
        <w:adjustRightInd w:val="0"/>
        <w:snapToGrid w:val="0"/>
        <w:spacing w:line="360" w:lineRule="auto"/>
        <w:ind w:left="420"/>
        <w:rPr>
          <w:rFonts w:ascii="宋体" w:eastAsia="宋体" w:hAnsi="宋体" w:cs="Times New Roman"/>
          <w:sz w:val="24"/>
        </w:rPr>
      </w:pPr>
    </w:p>
    <w:p w:rsidR="000A0524" w:rsidRPr="000A0524" w:rsidRDefault="000A0524" w:rsidP="000A0524">
      <w:pPr>
        <w:spacing w:line="360" w:lineRule="auto"/>
        <w:ind w:firstLineChars="200" w:firstLine="482"/>
        <w:jc w:val="center"/>
        <w:rPr>
          <w:rFonts w:ascii="宋体" w:eastAsia="宋体" w:hAnsi="宋体" w:cs="Times New Roman"/>
          <w:b/>
          <w:sz w:val="24"/>
        </w:rPr>
      </w:pPr>
      <w:r w:rsidRPr="000A0524">
        <w:rPr>
          <w:rFonts w:ascii="宋体" w:eastAsia="宋体" w:hAnsi="宋体" w:cs="Times New Roman" w:hint="eastAsia"/>
          <w:b/>
          <w:sz w:val="24"/>
        </w:rPr>
        <w:t>第二章  声明与保证</w:t>
      </w:r>
    </w:p>
    <w:p w:rsidR="000A0524" w:rsidRPr="000A0524" w:rsidRDefault="000A0524" w:rsidP="000A0524">
      <w:pPr>
        <w:widowControl/>
        <w:numPr>
          <w:ilvl w:val="1"/>
          <w:numId w:val="3"/>
        </w:numPr>
        <w:tabs>
          <w:tab w:val="num" w:pos="1418"/>
        </w:tabs>
        <w:adjustRightInd w:val="0"/>
        <w:snapToGrid w:val="0"/>
        <w:spacing w:beforeLines="50" w:before="156" w:line="360" w:lineRule="auto"/>
        <w:rPr>
          <w:rFonts w:ascii="宋体" w:eastAsia="宋体" w:hAnsi="宋体" w:cs="Arial"/>
          <w:bCs/>
          <w:kern w:val="0"/>
          <w:sz w:val="24"/>
        </w:rPr>
      </w:pPr>
      <w:r w:rsidRPr="000A0524">
        <w:rPr>
          <w:rFonts w:ascii="宋体" w:eastAsia="宋体" w:hAnsi="宋体" w:cs="Arial" w:hint="eastAsia"/>
          <w:bCs/>
          <w:kern w:val="0"/>
          <w:sz w:val="24"/>
        </w:rPr>
        <w:t>在合同签订时及合同履行期间内，甲方的声明与保证：</w:t>
      </w:r>
    </w:p>
    <w:p w:rsidR="000A0524" w:rsidRPr="000A0524" w:rsidRDefault="000A0524" w:rsidP="000A0524">
      <w:pPr>
        <w:numPr>
          <w:ilvl w:val="0"/>
          <w:numId w:val="8"/>
        </w:numPr>
        <w:autoSpaceDE w:val="0"/>
        <w:autoSpaceDN w:val="0"/>
        <w:adjustRightInd w:val="0"/>
        <w:snapToGrid w:val="0"/>
        <w:spacing w:line="360" w:lineRule="auto"/>
        <w:rPr>
          <w:rFonts w:ascii="宋体" w:eastAsia="宋体" w:hAnsi="宋体" w:cs="Arial"/>
          <w:bCs/>
          <w:kern w:val="0"/>
          <w:sz w:val="24"/>
        </w:rPr>
      </w:pPr>
      <w:r w:rsidRPr="000A0524">
        <w:rPr>
          <w:rFonts w:ascii="宋体" w:eastAsia="宋体" w:hAnsi="宋体" w:cs="Times New Roman"/>
          <w:kern w:val="0"/>
          <w:sz w:val="24"/>
        </w:rPr>
        <w:t>甲方具有合法的融资融券交易主体资格，不存在有关法律、行政法规、规章及其他规范性文件禁止或限制</w:t>
      </w:r>
      <w:r w:rsidRPr="000A0524">
        <w:rPr>
          <w:rFonts w:ascii="宋体" w:eastAsia="宋体" w:hAnsi="宋体" w:cs="Times New Roman" w:hint="eastAsia"/>
          <w:kern w:val="0"/>
          <w:sz w:val="24"/>
        </w:rPr>
        <w:t>在乙方</w:t>
      </w:r>
      <w:r w:rsidRPr="000A0524">
        <w:rPr>
          <w:rFonts w:ascii="宋体" w:eastAsia="宋体" w:hAnsi="宋体" w:cs="Times New Roman"/>
          <w:kern w:val="0"/>
          <w:sz w:val="24"/>
        </w:rPr>
        <w:t>从事融资</w:t>
      </w:r>
      <w:r w:rsidRPr="000A0524">
        <w:rPr>
          <w:rFonts w:ascii="宋体" w:eastAsia="宋体" w:hAnsi="宋体" w:cs="Times New Roman" w:hint="eastAsia"/>
          <w:kern w:val="0"/>
          <w:sz w:val="24"/>
        </w:rPr>
        <w:t>融</w:t>
      </w:r>
      <w:r w:rsidRPr="000A0524">
        <w:rPr>
          <w:rFonts w:ascii="宋体" w:eastAsia="宋体" w:hAnsi="宋体" w:cs="Times New Roman"/>
          <w:kern w:val="0"/>
          <w:sz w:val="24"/>
        </w:rPr>
        <w:t>券交易的情形</w:t>
      </w:r>
      <w:r w:rsidRPr="000A0524">
        <w:rPr>
          <w:rFonts w:ascii="宋体" w:eastAsia="宋体" w:hAnsi="宋体" w:cs="宋体" w:hint="eastAsia"/>
          <w:kern w:val="0"/>
          <w:sz w:val="24"/>
        </w:rPr>
        <w:t>。</w:t>
      </w:r>
    </w:p>
    <w:p w:rsidR="000A0524" w:rsidRPr="000A0524" w:rsidRDefault="000A0524" w:rsidP="000A0524">
      <w:pPr>
        <w:numPr>
          <w:ilvl w:val="0"/>
          <w:numId w:val="8"/>
        </w:numPr>
        <w:autoSpaceDE w:val="0"/>
        <w:autoSpaceDN w:val="0"/>
        <w:adjustRightInd w:val="0"/>
        <w:snapToGrid w:val="0"/>
        <w:spacing w:line="360" w:lineRule="auto"/>
        <w:rPr>
          <w:rFonts w:ascii="宋体" w:eastAsia="宋体" w:hAnsi="宋体" w:cs="Arial"/>
          <w:bCs/>
          <w:kern w:val="0"/>
          <w:sz w:val="24"/>
        </w:rPr>
      </w:pPr>
      <w:r w:rsidRPr="000A0524">
        <w:rPr>
          <w:rFonts w:ascii="宋体" w:eastAsia="宋体" w:hAnsi="宋体" w:cs="Arial" w:hint="eastAsia"/>
          <w:bCs/>
          <w:kern w:val="0"/>
          <w:sz w:val="24"/>
        </w:rPr>
        <w:t>甲方自愿遵</w:t>
      </w:r>
      <w:r w:rsidRPr="000A0524">
        <w:rPr>
          <w:rFonts w:ascii="宋体" w:eastAsia="宋体" w:hAnsi="宋体" w:cs="Arial"/>
          <w:bCs/>
          <w:kern w:val="0"/>
          <w:sz w:val="24"/>
        </w:rPr>
        <w:t>守有关法律、行政法规、规章</w:t>
      </w:r>
      <w:r w:rsidRPr="000A0524">
        <w:rPr>
          <w:rFonts w:ascii="宋体" w:eastAsia="宋体" w:hAnsi="宋体" w:cs="Arial" w:hint="eastAsia"/>
          <w:bCs/>
          <w:kern w:val="0"/>
          <w:sz w:val="24"/>
        </w:rPr>
        <w:t>、</w:t>
      </w:r>
      <w:r w:rsidRPr="000A0524">
        <w:rPr>
          <w:rFonts w:ascii="宋体" w:eastAsia="宋体" w:hAnsi="宋体" w:cs="Arial"/>
          <w:bCs/>
          <w:kern w:val="0"/>
          <w:sz w:val="24"/>
        </w:rPr>
        <w:t>规范</w:t>
      </w:r>
      <w:r w:rsidRPr="000A0524">
        <w:rPr>
          <w:rFonts w:ascii="宋体" w:eastAsia="宋体" w:hAnsi="宋体" w:cs="Arial" w:hint="eastAsia"/>
          <w:bCs/>
          <w:kern w:val="0"/>
          <w:sz w:val="24"/>
        </w:rPr>
        <w:t>性</w:t>
      </w:r>
      <w:r w:rsidRPr="000A0524">
        <w:rPr>
          <w:rFonts w:ascii="宋体" w:eastAsia="宋体" w:hAnsi="宋体" w:cs="Arial"/>
          <w:bCs/>
          <w:kern w:val="0"/>
          <w:sz w:val="24"/>
        </w:rPr>
        <w:t>文件</w:t>
      </w:r>
      <w:r w:rsidRPr="000A0524">
        <w:rPr>
          <w:rFonts w:ascii="宋体" w:eastAsia="宋体" w:hAnsi="宋体" w:cs="Arial" w:hint="eastAsia"/>
          <w:bCs/>
          <w:kern w:val="0"/>
          <w:sz w:val="24"/>
        </w:rPr>
        <w:t>、有关规则</w:t>
      </w:r>
      <w:r w:rsidRPr="000A0524">
        <w:rPr>
          <w:rFonts w:ascii="宋体" w:eastAsia="宋体" w:hAnsi="宋体" w:cs="Times New Roman"/>
          <w:kern w:val="0"/>
          <w:sz w:val="24"/>
        </w:rPr>
        <w:t>及乙方制定的</w:t>
      </w:r>
      <w:r w:rsidRPr="000A0524">
        <w:rPr>
          <w:rFonts w:ascii="宋体" w:eastAsia="宋体" w:hAnsi="宋体" w:cs="Times New Roman" w:hint="eastAsia"/>
          <w:kern w:val="0"/>
          <w:sz w:val="24"/>
        </w:rPr>
        <w:t>融资融券</w:t>
      </w:r>
      <w:r w:rsidRPr="000A0524">
        <w:rPr>
          <w:rFonts w:ascii="宋体" w:eastAsia="宋体" w:hAnsi="宋体" w:cs="Times New Roman"/>
          <w:kern w:val="0"/>
          <w:sz w:val="24"/>
        </w:rPr>
        <w:t>业务</w:t>
      </w:r>
      <w:r w:rsidRPr="000A0524">
        <w:rPr>
          <w:rFonts w:ascii="宋体" w:eastAsia="宋体" w:hAnsi="宋体" w:cs="Times New Roman" w:hint="eastAsia"/>
          <w:kern w:val="0"/>
          <w:sz w:val="24"/>
        </w:rPr>
        <w:t>制度</w:t>
      </w:r>
      <w:r w:rsidRPr="000A0524">
        <w:rPr>
          <w:rFonts w:ascii="宋体" w:eastAsia="宋体" w:hAnsi="宋体" w:cs="Arial" w:hint="eastAsia"/>
          <w:bCs/>
          <w:kern w:val="0"/>
          <w:sz w:val="24"/>
        </w:rPr>
        <w:t>的</w:t>
      </w:r>
      <w:r w:rsidRPr="000A0524">
        <w:rPr>
          <w:rFonts w:ascii="宋体" w:eastAsia="宋体" w:hAnsi="宋体" w:cs="Arial"/>
          <w:bCs/>
          <w:kern w:val="0"/>
          <w:sz w:val="24"/>
        </w:rPr>
        <w:t>规定</w:t>
      </w:r>
      <w:r w:rsidRPr="000A0524">
        <w:rPr>
          <w:rFonts w:ascii="宋体" w:eastAsia="宋体" w:hAnsi="宋体" w:cs="Arial" w:hint="eastAsia"/>
          <w:bCs/>
          <w:kern w:val="0"/>
          <w:sz w:val="24"/>
        </w:rPr>
        <w:t>。</w:t>
      </w:r>
    </w:p>
    <w:p w:rsidR="000A0524" w:rsidRPr="000A0524" w:rsidRDefault="000A0524" w:rsidP="000A0524">
      <w:pPr>
        <w:numPr>
          <w:ilvl w:val="0"/>
          <w:numId w:val="8"/>
        </w:numPr>
        <w:autoSpaceDE w:val="0"/>
        <w:autoSpaceDN w:val="0"/>
        <w:adjustRightInd w:val="0"/>
        <w:snapToGrid w:val="0"/>
        <w:spacing w:line="360" w:lineRule="auto"/>
        <w:rPr>
          <w:rFonts w:ascii="宋体" w:eastAsia="宋体" w:hAnsi="宋体" w:cs="Times New Roman"/>
          <w:kern w:val="0"/>
          <w:sz w:val="24"/>
        </w:rPr>
      </w:pPr>
      <w:r w:rsidRPr="000A0524">
        <w:rPr>
          <w:rFonts w:ascii="宋体" w:eastAsia="宋体" w:hAnsi="宋体" w:cs="Times New Roman" w:hint="eastAsia"/>
          <w:sz w:val="24"/>
        </w:rPr>
        <w:t>甲方已详细阅读本合同及《融资融券业务风险揭示书》的所有条款及内容，</w:t>
      </w:r>
      <w:r w:rsidRPr="000A0524">
        <w:rPr>
          <w:rFonts w:ascii="宋体" w:eastAsia="宋体" w:hAnsi="宋体" w:cs="宋体-WinCharSetFFFF-H" w:hint="eastAsia"/>
          <w:kern w:val="0"/>
          <w:sz w:val="24"/>
        </w:rPr>
        <w:t>已听取讲解并充分理解</w:t>
      </w:r>
      <w:r w:rsidRPr="000A0524">
        <w:rPr>
          <w:rFonts w:ascii="宋体" w:eastAsia="宋体" w:hAnsi="宋体" w:cs="Times New Roman" w:hint="eastAsia"/>
          <w:sz w:val="24"/>
        </w:rPr>
        <w:t>本合同及《融资融券业务风险揭示书》和融资融券的相关业务规则的确切含义，清楚认识并愿意自行承担融资融券交易的全部风</w:t>
      </w:r>
      <w:r w:rsidRPr="000A0524">
        <w:rPr>
          <w:rFonts w:ascii="宋体" w:eastAsia="宋体" w:hAnsi="宋体" w:cs="Times New Roman" w:hint="eastAsia"/>
          <w:kern w:val="0"/>
          <w:sz w:val="24"/>
        </w:rPr>
        <w:t>险，接受本合同的约束。</w:t>
      </w:r>
    </w:p>
    <w:p w:rsidR="000A0524" w:rsidRPr="000A0524" w:rsidRDefault="000A0524" w:rsidP="000A0524">
      <w:pPr>
        <w:numPr>
          <w:ilvl w:val="0"/>
          <w:numId w:val="8"/>
        </w:numPr>
        <w:autoSpaceDE w:val="0"/>
        <w:autoSpaceDN w:val="0"/>
        <w:adjustRightInd w:val="0"/>
        <w:snapToGrid w:val="0"/>
        <w:spacing w:line="360" w:lineRule="auto"/>
        <w:rPr>
          <w:rFonts w:ascii="宋体" w:eastAsia="宋体" w:hAnsi="宋体" w:cs="Times New Roman"/>
          <w:kern w:val="0"/>
          <w:sz w:val="24"/>
        </w:rPr>
      </w:pPr>
      <w:r w:rsidRPr="000A0524">
        <w:rPr>
          <w:rFonts w:ascii="宋体" w:eastAsia="宋体" w:hAnsi="宋体" w:cs="Times New Roman"/>
          <w:kern w:val="0"/>
          <w:sz w:val="24"/>
        </w:rPr>
        <w:t>甲方</w:t>
      </w:r>
      <w:r w:rsidRPr="000A0524">
        <w:rPr>
          <w:rFonts w:ascii="宋体" w:eastAsia="宋体" w:hAnsi="宋体" w:cs="Times New Roman" w:hint="eastAsia"/>
          <w:kern w:val="0"/>
          <w:sz w:val="24"/>
        </w:rPr>
        <w:t>保证</w:t>
      </w:r>
      <w:r w:rsidRPr="000A0524">
        <w:rPr>
          <w:rFonts w:ascii="宋体" w:eastAsia="宋体" w:hAnsi="宋体" w:cs="Times New Roman"/>
          <w:kern w:val="0"/>
          <w:sz w:val="24"/>
        </w:rPr>
        <w:t>用于融资融券交易的资产（含资金和证券）来源合法，向乙方提供担保的资产未设定其他担保</w:t>
      </w:r>
      <w:r w:rsidRPr="000A0524">
        <w:rPr>
          <w:rFonts w:ascii="宋体" w:eastAsia="宋体" w:hAnsi="宋体" w:cs="Times New Roman" w:hint="eastAsia"/>
          <w:kern w:val="0"/>
          <w:sz w:val="24"/>
        </w:rPr>
        <w:t>或第三方权利，不得出现被采取查封、冻结等司法或者行政强制措施的情形</w:t>
      </w:r>
      <w:r w:rsidRPr="000A0524">
        <w:rPr>
          <w:rFonts w:ascii="宋体" w:eastAsia="宋体" w:hAnsi="宋体" w:cs="Times New Roman"/>
          <w:kern w:val="0"/>
          <w:sz w:val="24"/>
        </w:rPr>
        <w:t>，</w:t>
      </w:r>
      <w:r w:rsidRPr="000A0524">
        <w:rPr>
          <w:rFonts w:ascii="宋体" w:eastAsia="宋体" w:hAnsi="宋体" w:cs="Times New Roman" w:hint="eastAsia"/>
          <w:kern w:val="0"/>
          <w:sz w:val="24"/>
        </w:rPr>
        <w:t>不存在已发生的或潜在的资产权属及其权益争议的情形，不存在</w:t>
      </w:r>
      <w:r w:rsidRPr="000A0524">
        <w:rPr>
          <w:rFonts w:ascii="宋体" w:eastAsia="宋体" w:hAnsi="宋体" w:cs="Times New Roman"/>
          <w:kern w:val="0"/>
          <w:sz w:val="24"/>
        </w:rPr>
        <w:t>任何权利瑕疵</w:t>
      </w:r>
      <w:r w:rsidRPr="000A0524">
        <w:rPr>
          <w:rFonts w:ascii="宋体" w:eastAsia="宋体" w:hAnsi="宋体" w:cs="Times New Roman" w:hint="eastAsia"/>
          <w:kern w:val="0"/>
          <w:sz w:val="24"/>
        </w:rPr>
        <w:t>。如乙方要求甲方提供资金来源说明，甲方保证该说明的真实性，并对此承担相应的法律责任。如乙方要求甲方提供相关证明，甲方保证按乙方要求提供</w:t>
      </w:r>
      <w:r w:rsidRPr="000A0524">
        <w:rPr>
          <w:rFonts w:ascii="宋体" w:eastAsia="宋体" w:hAnsi="宋体" w:cs="Times New Roman"/>
          <w:kern w:val="0"/>
          <w:sz w:val="24"/>
        </w:rPr>
        <w:t>。</w:t>
      </w:r>
      <w:r w:rsidRPr="000A0524">
        <w:rPr>
          <w:rFonts w:ascii="宋体" w:eastAsia="宋体" w:hAnsi="宋体" w:cs="Times New Roman" w:hint="eastAsia"/>
          <w:kern w:val="0"/>
          <w:sz w:val="24"/>
        </w:rPr>
        <w:t>若在融资融券交易过程中，乙方发现甲方提供的作为担保物的资金和证券存在上述情形，乙方有权在计算保证金可用余额和维持担保比例时扣除该担保物的价值，甲方应当随时关注其信用账户中保证金余额和维持担保比例的变化，并及时更换、补充担保物。</w:t>
      </w:r>
    </w:p>
    <w:p w:rsidR="000A0524" w:rsidRPr="000A0524" w:rsidRDefault="000A0524" w:rsidP="000A0524">
      <w:pPr>
        <w:numPr>
          <w:ilvl w:val="0"/>
          <w:numId w:val="8"/>
        </w:numPr>
        <w:autoSpaceDE w:val="0"/>
        <w:autoSpaceDN w:val="0"/>
        <w:adjustRightInd w:val="0"/>
        <w:snapToGrid w:val="0"/>
        <w:spacing w:line="360" w:lineRule="auto"/>
        <w:rPr>
          <w:rFonts w:ascii="宋体" w:eastAsia="宋体" w:hAnsi="宋体" w:cs="Times New Roman"/>
          <w:kern w:val="0"/>
          <w:sz w:val="24"/>
        </w:rPr>
      </w:pPr>
      <w:r w:rsidRPr="000A0524">
        <w:rPr>
          <w:rFonts w:ascii="宋体" w:eastAsia="宋体" w:hAnsi="宋体" w:cs="Times New Roman"/>
          <w:kern w:val="0"/>
          <w:sz w:val="24"/>
        </w:rPr>
        <w:t>甲方承诺如实向乙方提供身份证明材料、资信证明文件及其他相关材料，并对其提交的所有文件、</w:t>
      </w:r>
      <w:r w:rsidRPr="000A0524">
        <w:rPr>
          <w:rFonts w:ascii="宋体" w:eastAsia="宋体" w:hAnsi="宋体" w:cs="Times New Roman" w:hint="eastAsia"/>
          <w:kern w:val="0"/>
          <w:sz w:val="24"/>
        </w:rPr>
        <w:t>材料</w:t>
      </w:r>
      <w:r w:rsidRPr="000A0524">
        <w:rPr>
          <w:rFonts w:ascii="宋体" w:eastAsia="宋体" w:hAnsi="宋体" w:cs="Times New Roman"/>
          <w:kern w:val="0"/>
          <w:sz w:val="24"/>
        </w:rPr>
        <w:t>和信息的真实性、准确性、完整性、合法性与有效性负责，并保证在该等文件、材料</w:t>
      </w:r>
      <w:r w:rsidRPr="000A0524">
        <w:rPr>
          <w:rFonts w:ascii="宋体" w:eastAsia="宋体" w:hAnsi="宋体" w:cs="Times New Roman" w:hint="eastAsia"/>
          <w:kern w:val="0"/>
          <w:sz w:val="24"/>
        </w:rPr>
        <w:t>和信息</w:t>
      </w:r>
      <w:r w:rsidRPr="000A0524">
        <w:rPr>
          <w:rFonts w:ascii="宋体" w:eastAsia="宋体" w:hAnsi="宋体" w:cs="Times New Roman"/>
          <w:kern w:val="0"/>
          <w:sz w:val="24"/>
        </w:rPr>
        <w:t>的内容发生变更时及时通知乙方</w:t>
      </w:r>
      <w:r w:rsidRPr="000A0524">
        <w:rPr>
          <w:rFonts w:ascii="宋体" w:eastAsia="宋体" w:hAnsi="宋体" w:cs="Times New Roman" w:hint="eastAsia"/>
          <w:kern w:val="0"/>
          <w:sz w:val="24"/>
        </w:rPr>
        <w:t>。</w:t>
      </w:r>
    </w:p>
    <w:p w:rsidR="000A0524" w:rsidRPr="000A0524" w:rsidRDefault="000A0524" w:rsidP="000A0524">
      <w:pPr>
        <w:numPr>
          <w:ilvl w:val="0"/>
          <w:numId w:val="8"/>
        </w:numPr>
        <w:autoSpaceDE w:val="0"/>
        <w:autoSpaceDN w:val="0"/>
        <w:adjustRightInd w:val="0"/>
        <w:snapToGrid w:val="0"/>
        <w:spacing w:line="360" w:lineRule="auto"/>
        <w:rPr>
          <w:rFonts w:ascii="宋体" w:eastAsia="宋体" w:hAnsi="宋体" w:cs="宋体"/>
          <w:kern w:val="0"/>
          <w:sz w:val="24"/>
        </w:rPr>
      </w:pPr>
      <w:r w:rsidRPr="000A0524">
        <w:rPr>
          <w:rFonts w:ascii="宋体" w:eastAsia="宋体" w:hAnsi="宋体" w:cs="宋体" w:hint="eastAsia"/>
          <w:kern w:val="0"/>
          <w:sz w:val="24"/>
        </w:rPr>
        <w:t>甲方承诺如实向乙方提供乙方对甲方进行投资者适当性评估所需的信息，并确保上述信息真实、准确、完整。若甲方提供的信息不真实、不准确、不完整的，应当依法承担相应的法律责任。若上述信息发生重要变化，可能影响甲方适当性分类的，甲方应及时告知乙方。</w:t>
      </w:r>
    </w:p>
    <w:p w:rsidR="000A0524" w:rsidRPr="000A0524" w:rsidRDefault="000A0524" w:rsidP="000A0524">
      <w:pPr>
        <w:numPr>
          <w:ilvl w:val="0"/>
          <w:numId w:val="8"/>
        </w:numPr>
        <w:autoSpaceDE w:val="0"/>
        <w:autoSpaceDN w:val="0"/>
        <w:adjustRightInd w:val="0"/>
        <w:snapToGrid w:val="0"/>
        <w:spacing w:line="360" w:lineRule="auto"/>
        <w:rPr>
          <w:rFonts w:ascii="宋体" w:eastAsia="宋体" w:hAnsi="宋体" w:cs="宋体"/>
          <w:kern w:val="0"/>
          <w:sz w:val="24"/>
        </w:rPr>
      </w:pPr>
      <w:r w:rsidRPr="000A0524">
        <w:rPr>
          <w:rFonts w:ascii="宋体" w:eastAsia="宋体" w:hAnsi="宋体" w:cs="宋体" w:hint="eastAsia"/>
          <w:kern w:val="0"/>
          <w:sz w:val="24"/>
        </w:rPr>
        <w:t>甲方声明，签订本合同时甲方不是乙方的股东（此处所称股东不包括</w:t>
      </w:r>
      <w:r w:rsidRPr="000A0524">
        <w:rPr>
          <w:rFonts w:ascii="宋体" w:eastAsia="宋体" w:hAnsi="宋体" w:cs="宋体" w:hint="eastAsia"/>
          <w:kern w:val="0"/>
          <w:sz w:val="24"/>
        </w:rPr>
        <w:lastRenderedPageBreak/>
        <w:t>乙方上市后仅持有5%以下上市流通股份的股东）或关联人；本合同有效期内，如甲方成为乙方的股东（此处所称股东不包括乙方上市后仅持有5%以下上市流通股份的股东）或关联人，甲方承诺将立即通知乙方，并在5个交易日内了结所有融资融券交易，解除本合同。</w:t>
      </w:r>
    </w:p>
    <w:p w:rsidR="000A0524" w:rsidRPr="000A0524" w:rsidRDefault="000A0524" w:rsidP="000A0524">
      <w:pPr>
        <w:numPr>
          <w:ilvl w:val="0"/>
          <w:numId w:val="8"/>
        </w:numPr>
        <w:autoSpaceDE w:val="0"/>
        <w:autoSpaceDN w:val="0"/>
        <w:adjustRightInd w:val="0"/>
        <w:snapToGrid w:val="0"/>
        <w:spacing w:line="360" w:lineRule="auto"/>
        <w:rPr>
          <w:rFonts w:ascii="宋体" w:eastAsia="宋体" w:hAnsi="宋体" w:cs="Times New Roman"/>
          <w:kern w:val="0"/>
          <w:sz w:val="24"/>
        </w:rPr>
      </w:pPr>
      <w:r w:rsidRPr="000A0524">
        <w:rPr>
          <w:rFonts w:ascii="宋体" w:eastAsia="宋体" w:hAnsi="宋体" w:cs="宋体" w:hint="eastAsia"/>
          <w:kern w:val="0"/>
          <w:sz w:val="24"/>
        </w:rPr>
        <w:t>甲方承诺在与乙方签订本合同时及本合同有效期内，向乙方如实申报是否持有上市公司限售股份（包括解除和未解除限售股份）、是否为上市公司董事、监事或高级管理人员、是否为持有上市公司股份5%以上的股东等相关信息。</w:t>
      </w:r>
    </w:p>
    <w:p w:rsidR="000A0524" w:rsidRPr="000A0524" w:rsidRDefault="000A0524" w:rsidP="000A0524">
      <w:pPr>
        <w:numPr>
          <w:ilvl w:val="0"/>
          <w:numId w:val="8"/>
        </w:numPr>
        <w:autoSpaceDE w:val="0"/>
        <w:autoSpaceDN w:val="0"/>
        <w:adjustRightInd w:val="0"/>
        <w:snapToGrid w:val="0"/>
        <w:spacing w:line="360" w:lineRule="auto"/>
        <w:rPr>
          <w:rFonts w:ascii="宋体" w:eastAsia="宋体" w:hAnsi="宋体" w:cs="Times New Roman"/>
          <w:kern w:val="0"/>
          <w:sz w:val="24"/>
        </w:rPr>
      </w:pPr>
      <w:r w:rsidRPr="000A0524">
        <w:rPr>
          <w:rFonts w:ascii="宋体" w:eastAsia="宋体" w:hAnsi="宋体" w:cs="Times New Roman" w:hint="eastAsia"/>
          <w:kern w:val="0"/>
          <w:sz w:val="24"/>
        </w:rPr>
        <w:t>甲方承诺在与乙方签订本合同时及本合同有效期内，向乙方如实申报其所有、控制的证券账户和关联人持有的全部证券账户。</w:t>
      </w:r>
    </w:p>
    <w:p w:rsidR="000A0524" w:rsidRPr="000A0524" w:rsidRDefault="000A0524" w:rsidP="000A0524">
      <w:pPr>
        <w:numPr>
          <w:ilvl w:val="0"/>
          <w:numId w:val="8"/>
        </w:numPr>
        <w:autoSpaceDE w:val="0"/>
        <w:autoSpaceDN w:val="0"/>
        <w:adjustRightInd w:val="0"/>
        <w:snapToGrid w:val="0"/>
        <w:spacing w:line="360" w:lineRule="auto"/>
        <w:rPr>
          <w:rFonts w:ascii="宋体" w:eastAsia="宋体" w:hAnsi="宋体" w:cs="Times New Roman"/>
          <w:kern w:val="0"/>
          <w:sz w:val="24"/>
        </w:rPr>
      </w:pPr>
      <w:r w:rsidRPr="000A0524">
        <w:rPr>
          <w:rFonts w:ascii="宋体" w:eastAsia="宋体" w:hAnsi="宋体" w:cs="Times New Roman" w:hint="eastAsia"/>
          <w:kern w:val="0"/>
          <w:sz w:val="24"/>
        </w:rPr>
        <w:t>甲方申请开立信用账户前，应当在乙方处开有普通账户。在了结融资融券交易前，甲方不得对其普通证券账户进行撤销指定交易及注销、不得注销普通资金账户。</w:t>
      </w:r>
    </w:p>
    <w:p w:rsidR="000A0524" w:rsidRPr="000A0524" w:rsidRDefault="000A0524" w:rsidP="000A0524">
      <w:pPr>
        <w:numPr>
          <w:ilvl w:val="0"/>
          <w:numId w:val="8"/>
        </w:numPr>
        <w:autoSpaceDE w:val="0"/>
        <w:autoSpaceDN w:val="0"/>
        <w:adjustRightInd w:val="0"/>
        <w:snapToGrid w:val="0"/>
        <w:spacing w:line="360" w:lineRule="auto"/>
        <w:rPr>
          <w:rFonts w:ascii="宋体" w:eastAsia="宋体" w:hAnsi="宋体" w:cs="Times New Roman"/>
          <w:kern w:val="0"/>
          <w:sz w:val="24"/>
        </w:rPr>
      </w:pPr>
      <w:r w:rsidRPr="000A0524">
        <w:rPr>
          <w:rFonts w:ascii="宋体" w:eastAsia="宋体" w:hAnsi="宋体" w:cs="Times New Roman"/>
          <w:kern w:val="0"/>
          <w:sz w:val="24"/>
        </w:rPr>
        <w:t>甲方同意乙方以合法方式对甲方的资信状况、履约能力进行必要的了解，并同意乙方按照有关规定，向</w:t>
      </w:r>
      <w:r w:rsidRPr="000A0524">
        <w:rPr>
          <w:rFonts w:ascii="宋体" w:eastAsia="宋体" w:hAnsi="宋体" w:cs="Times New Roman" w:hint="eastAsia"/>
          <w:kern w:val="0"/>
          <w:sz w:val="24"/>
        </w:rPr>
        <w:t>中国证监会及其派出机构</w:t>
      </w:r>
      <w:r w:rsidRPr="000A0524">
        <w:rPr>
          <w:rFonts w:ascii="宋体" w:eastAsia="宋体" w:hAnsi="宋体" w:cs="Times New Roman"/>
          <w:kern w:val="0"/>
          <w:sz w:val="24"/>
        </w:rPr>
        <w:t>、中国证券业协会、证券交易所、证券登记</w:t>
      </w:r>
      <w:r w:rsidRPr="000A0524">
        <w:rPr>
          <w:rFonts w:ascii="宋体" w:eastAsia="宋体" w:hAnsi="宋体" w:cs="Times New Roman" w:hint="eastAsia"/>
          <w:kern w:val="0"/>
          <w:sz w:val="24"/>
        </w:rPr>
        <w:t>结算</w:t>
      </w:r>
      <w:r w:rsidRPr="000A0524">
        <w:rPr>
          <w:rFonts w:ascii="宋体" w:eastAsia="宋体" w:hAnsi="宋体" w:cs="Times New Roman"/>
          <w:kern w:val="0"/>
          <w:sz w:val="24"/>
        </w:rPr>
        <w:t>机构等单位报送甲方的融资融券交易数据、信用证券账户注册资料及其他相关信息</w:t>
      </w:r>
      <w:r w:rsidRPr="000A0524">
        <w:rPr>
          <w:rFonts w:ascii="宋体" w:eastAsia="宋体" w:hAnsi="宋体" w:cs="Times New Roman" w:hint="eastAsia"/>
          <w:kern w:val="0"/>
          <w:sz w:val="24"/>
        </w:rPr>
        <w:t>。</w:t>
      </w:r>
    </w:p>
    <w:p w:rsidR="000A0524" w:rsidRPr="000A0524" w:rsidRDefault="000A0524" w:rsidP="000A0524">
      <w:pPr>
        <w:numPr>
          <w:ilvl w:val="0"/>
          <w:numId w:val="8"/>
        </w:numPr>
        <w:autoSpaceDE w:val="0"/>
        <w:autoSpaceDN w:val="0"/>
        <w:adjustRightInd w:val="0"/>
        <w:snapToGrid w:val="0"/>
        <w:spacing w:line="360" w:lineRule="auto"/>
        <w:rPr>
          <w:rFonts w:ascii="宋体" w:eastAsia="宋体" w:hAnsi="宋体" w:cs="Times New Roman"/>
          <w:kern w:val="0"/>
          <w:sz w:val="24"/>
        </w:rPr>
      </w:pPr>
      <w:r w:rsidRPr="000A0524">
        <w:rPr>
          <w:rFonts w:ascii="宋体" w:eastAsia="宋体" w:hAnsi="宋体" w:cs="Times New Roman" w:hint="eastAsia"/>
          <w:kern w:val="0"/>
          <w:sz w:val="24"/>
        </w:rPr>
        <w:t>甲方自行承担融资融券交易的风险和损失，乙方不以任何方式保证甲方获得投资收益或承担甲方投资损失。</w:t>
      </w:r>
    </w:p>
    <w:p w:rsidR="000A0524" w:rsidRPr="000A0524" w:rsidRDefault="000A0524" w:rsidP="000A0524">
      <w:pPr>
        <w:numPr>
          <w:ilvl w:val="0"/>
          <w:numId w:val="8"/>
        </w:numPr>
        <w:autoSpaceDE w:val="0"/>
        <w:autoSpaceDN w:val="0"/>
        <w:adjustRightInd w:val="0"/>
        <w:snapToGrid w:val="0"/>
        <w:spacing w:line="360" w:lineRule="auto"/>
        <w:rPr>
          <w:rFonts w:ascii="宋体" w:eastAsia="宋体" w:hAnsi="宋体" w:cs="Times New Roman"/>
          <w:kern w:val="0"/>
          <w:sz w:val="24"/>
        </w:rPr>
      </w:pPr>
      <w:r w:rsidRPr="000A0524">
        <w:rPr>
          <w:rFonts w:ascii="宋体" w:eastAsia="宋体" w:hAnsi="宋体" w:cs="Times New Roman" w:hint="eastAsia"/>
          <w:kern w:val="0"/>
          <w:sz w:val="24"/>
        </w:rPr>
        <w:t>甲方承诺具有丰富的证券投资经验并具备足够的风险承担能力，且无重大违约纪录。</w:t>
      </w:r>
    </w:p>
    <w:p w:rsidR="000A0524" w:rsidRPr="000A0524" w:rsidRDefault="000A0524" w:rsidP="000A0524">
      <w:pPr>
        <w:numPr>
          <w:ilvl w:val="0"/>
          <w:numId w:val="8"/>
        </w:numPr>
        <w:autoSpaceDE w:val="0"/>
        <w:autoSpaceDN w:val="0"/>
        <w:adjustRightInd w:val="0"/>
        <w:snapToGrid w:val="0"/>
        <w:spacing w:line="360" w:lineRule="auto"/>
        <w:rPr>
          <w:rFonts w:ascii="宋体" w:eastAsia="宋体" w:hAnsi="宋体" w:cs="Times New Roman"/>
          <w:kern w:val="0"/>
          <w:sz w:val="24"/>
        </w:rPr>
      </w:pPr>
      <w:r w:rsidRPr="000A0524">
        <w:rPr>
          <w:rFonts w:ascii="宋体" w:eastAsia="宋体" w:hAnsi="宋体" w:cs="Times New Roman" w:hint="eastAsia"/>
          <w:kern w:val="0"/>
          <w:sz w:val="24"/>
        </w:rPr>
        <w:t>甲方同意乙方协助司法机关依法对甲方的信用证券账户或者信用资金账户记载的权益采取财产保全或者强制执行措施，由此产生的任何责任和后果由甲方自行承担，乙方不承担任何责任。</w:t>
      </w:r>
    </w:p>
    <w:p w:rsidR="000A0524" w:rsidRPr="000A0524" w:rsidRDefault="000A0524" w:rsidP="000A0524">
      <w:pPr>
        <w:numPr>
          <w:ilvl w:val="0"/>
          <w:numId w:val="8"/>
        </w:numPr>
        <w:autoSpaceDE w:val="0"/>
        <w:autoSpaceDN w:val="0"/>
        <w:adjustRightInd w:val="0"/>
        <w:snapToGrid w:val="0"/>
        <w:spacing w:line="360" w:lineRule="auto"/>
        <w:rPr>
          <w:rFonts w:ascii="宋体" w:eastAsia="宋体" w:hAnsi="宋体" w:cs="Times New Roman"/>
          <w:b/>
          <w:kern w:val="0"/>
          <w:sz w:val="24"/>
        </w:rPr>
      </w:pPr>
      <w:r w:rsidRPr="000A0524">
        <w:rPr>
          <w:rFonts w:ascii="宋体" w:eastAsia="宋体" w:hAnsi="宋体" w:cs="Times New Roman" w:hint="eastAsia"/>
          <w:b/>
          <w:kern w:val="0"/>
          <w:sz w:val="24"/>
        </w:rPr>
        <w:t>甲方知晓并完全认可：乙方有权根据本合同约定单方确定（包括新增）、调整甲方的【</w:t>
      </w:r>
      <w:r w:rsidRPr="000A0524">
        <w:rPr>
          <w:rFonts w:ascii="宋体" w:eastAsia="宋体" w:hAnsi="宋体" w:cs="Times New Roman" w:hint="eastAsia"/>
          <w:b/>
          <w:i/>
          <w:kern w:val="0"/>
          <w:sz w:val="24"/>
        </w:rPr>
        <w:t>平仓线、警戒线、预警线、提取线、集中度要求、公允价值、折算率、保证金比例、可充抵保证金证券、标的证券、授信额度、合同期限及其他本合同约定乙方有权调整的合同条款、融资融券风控指标及风控措施</w:t>
      </w:r>
      <w:r w:rsidRPr="000A0524">
        <w:rPr>
          <w:rFonts w:ascii="宋体" w:eastAsia="宋体" w:hAnsi="宋体" w:cs="Times New Roman" w:hint="eastAsia"/>
          <w:b/>
          <w:kern w:val="0"/>
          <w:sz w:val="24"/>
        </w:rPr>
        <w:t>】。相关调整乙方有权以在交易系统或营业场所或公司官网公告或通知方式告知甲方，甲方应及时查看。如乙方调整上述条款、参数或指标对甲方带来任何影响、经济损失或法律责任，甲方同意自行承担。</w:t>
      </w:r>
    </w:p>
    <w:p w:rsidR="000A0524" w:rsidRPr="000A0524" w:rsidRDefault="000A0524" w:rsidP="000A0524">
      <w:pPr>
        <w:numPr>
          <w:ilvl w:val="0"/>
          <w:numId w:val="8"/>
        </w:numPr>
        <w:autoSpaceDE w:val="0"/>
        <w:autoSpaceDN w:val="0"/>
        <w:adjustRightInd w:val="0"/>
        <w:snapToGrid w:val="0"/>
        <w:spacing w:line="360" w:lineRule="auto"/>
        <w:rPr>
          <w:rFonts w:ascii="宋体" w:eastAsia="宋体" w:hAnsi="宋体" w:cs="Times New Roman"/>
          <w:b/>
          <w:kern w:val="0"/>
          <w:sz w:val="24"/>
        </w:rPr>
      </w:pPr>
      <w:r w:rsidRPr="000A0524">
        <w:rPr>
          <w:rFonts w:ascii="宋体" w:eastAsia="宋体" w:hAnsi="宋体" w:cs="Times New Roman" w:hint="eastAsia"/>
          <w:b/>
          <w:kern w:val="0"/>
          <w:sz w:val="24"/>
        </w:rPr>
        <w:lastRenderedPageBreak/>
        <w:t>甲方承诺其随时通过本合同约定的方式关注乙方通知、乙方公告、交易系统展示信息等所有可能或已经对甲方权益产生影响的信息或资料，了解其自身信用账户资产负债情况、各项融资融券风控指标、担保物情况、保证金情况、融资融券合约及本合同期限、以及乙方对于合同条款、公允价值等调整变更信息。如因甲方自身原因导致无法及时了解、获悉相关信息，甲方自行承担由此导致的一切经济损失或法律责任。甲方不以乙方单方享有权利或甲方未及时查看、知悉公告为由对本合同的合法合规和有效性，以及乙方依据本合同而采取的任何措施提出任何异议。</w:t>
      </w:r>
    </w:p>
    <w:p w:rsidR="000A0524" w:rsidRPr="000A0524" w:rsidRDefault="000A0524" w:rsidP="000A0524">
      <w:pPr>
        <w:numPr>
          <w:ilvl w:val="0"/>
          <w:numId w:val="8"/>
        </w:numPr>
        <w:autoSpaceDE w:val="0"/>
        <w:autoSpaceDN w:val="0"/>
        <w:adjustRightInd w:val="0"/>
        <w:snapToGrid w:val="0"/>
        <w:spacing w:line="360" w:lineRule="auto"/>
        <w:rPr>
          <w:rFonts w:ascii="宋体" w:eastAsia="宋体" w:hAnsi="宋体" w:cs="Times New Roman"/>
          <w:kern w:val="0"/>
          <w:sz w:val="24"/>
        </w:rPr>
      </w:pPr>
      <w:r w:rsidRPr="000A0524">
        <w:rPr>
          <w:rFonts w:ascii="宋体" w:eastAsia="宋体" w:hAnsi="宋体" w:cs="Times New Roman" w:hint="eastAsia"/>
          <w:kern w:val="0"/>
          <w:sz w:val="24"/>
        </w:rPr>
        <w:t>甲方承诺未经乙方书面同意，甲方不得以任何方式转让本合同项下的权利、义务。</w:t>
      </w:r>
    </w:p>
    <w:p w:rsidR="000A0524" w:rsidRPr="000A0524" w:rsidRDefault="000A0524" w:rsidP="000A0524">
      <w:pPr>
        <w:numPr>
          <w:ilvl w:val="0"/>
          <w:numId w:val="8"/>
        </w:numPr>
        <w:tabs>
          <w:tab w:val="num" w:pos="0"/>
        </w:tabs>
        <w:autoSpaceDE w:val="0"/>
        <w:autoSpaceDN w:val="0"/>
        <w:adjustRightInd w:val="0"/>
        <w:snapToGrid w:val="0"/>
        <w:spacing w:line="360" w:lineRule="auto"/>
        <w:rPr>
          <w:rFonts w:ascii="宋体" w:eastAsia="宋体" w:hAnsi="宋体" w:cs="宋体"/>
          <w:kern w:val="0"/>
          <w:sz w:val="24"/>
        </w:rPr>
      </w:pPr>
      <w:r w:rsidRPr="000A0524">
        <w:rPr>
          <w:rFonts w:ascii="宋体" w:eastAsia="宋体" w:hAnsi="宋体" w:cs="宋体" w:hint="eastAsia"/>
          <w:kern w:val="0"/>
          <w:sz w:val="24"/>
        </w:rPr>
        <w:t>甲方保证上述声明与保证的内容皆为本人真实意思表示，并自愿承担虚假陈述的一切后果。</w:t>
      </w:r>
    </w:p>
    <w:p w:rsidR="000A0524" w:rsidRPr="000A0524" w:rsidRDefault="000A0524" w:rsidP="000A0524">
      <w:pPr>
        <w:numPr>
          <w:ilvl w:val="0"/>
          <w:numId w:val="8"/>
        </w:numPr>
        <w:autoSpaceDE w:val="0"/>
        <w:autoSpaceDN w:val="0"/>
        <w:adjustRightInd w:val="0"/>
        <w:snapToGrid w:val="0"/>
        <w:spacing w:line="360" w:lineRule="auto"/>
        <w:rPr>
          <w:rFonts w:ascii="宋体" w:eastAsia="宋体" w:hAnsi="宋体" w:cs="宋体"/>
          <w:kern w:val="0"/>
          <w:sz w:val="24"/>
        </w:rPr>
      </w:pPr>
      <w:r w:rsidRPr="000A0524">
        <w:rPr>
          <w:rFonts w:ascii="宋体" w:eastAsia="宋体" w:hAnsi="宋体" w:cs="宋体" w:hint="eastAsia"/>
          <w:kern w:val="0"/>
          <w:sz w:val="24"/>
        </w:rPr>
        <w:t>甲方在签订本合同时不存在与除乙方以外的其他任何证券公司仍有未解约的融资融券合同。</w:t>
      </w:r>
      <w:r w:rsidRPr="000A0524">
        <w:rPr>
          <w:rFonts w:ascii="Calibri" w:eastAsia="宋体" w:hAnsi="Calibri" w:cs="Times New Roman" w:hint="eastAsia"/>
          <w:sz w:val="24"/>
          <w:szCs w:val="24"/>
          <w:lang w:val="x-none"/>
        </w:rPr>
        <w:t>如属于甲方原已与中国国际金融股份有限公司（“中金公司”）签署融资融券合同及在中金公司开立信用账户，因中金公司与乙方进行业务整合，而将甲方信用账户从中金公司迁移至乙方的情形除外。</w:t>
      </w:r>
    </w:p>
    <w:p w:rsidR="000A0524" w:rsidRPr="000A0524" w:rsidRDefault="000A0524" w:rsidP="000A0524">
      <w:pPr>
        <w:widowControl/>
        <w:numPr>
          <w:ilvl w:val="1"/>
          <w:numId w:val="3"/>
        </w:numPr>
        <w:tabs>
          <w:tab w:val="num" w:pos="1418"/>
        </w:tabs>
        <w:adjustRightInd w:val="0"/>
        <w:snapToGrid w:val="0"/>
        <w:spacing w:beforeLines="50" w:before="156" w:line="360" w:lineRule="auto"/>
        <w:rPr>
          <w:rFonts w:ascii="宋体" w:eastAsia="宋体" w:hAnsi="宋体" w:cs="Arial"/>
          <w:bCs/>
          <w:kern w:val="0"/>
          <w:sz w:val="24"/>
        </w:rPr>
      </w:pPr>
      <w:r w:rsidRPr="000A0524">
        <w:rPr>
          <w:rFonts w:ascii="宋体" w:eastAsia="宋体" w:hAnsi="宋体" w:cs="Arial" w:hint="eastAsia"/>
          <w:bCs/>
          <w:kern w:val="0"/>
          <w:sz w:val="24"/>
        </w:rPr>
        <w:t>乙方向甲方作如下声明与保证：</w:t>
      </w:r>
    </w:p>
    <w:p w:rsidR="000A0524" w:rsidRPr="000A0524" w:rsidRDefault="000A0524" w:rsidP="000A0524">
      <w:pPr>
        <w:numPr>
          <w:ilvl w:val="0"/>
          <w:numId w:val="9"/>
        </w:numPr>
        <w:autoSpaceDE w:val="0"/>
        <w:autoSpaceDN w:val="0"/>
        <w:adjustRightInd w:val="0"/>
        <w:snapToGrid w:val="0"/>
        <w:spacing w:line="360" w:lineRule="auto"/>
        <w:rPr>
          <w:rFonts w:ascii="宋体" w:eastAsia="宋体" w:hAnsi="宋体" w:cs="宋体"/>
          <w:kern w:val="0"/>
          <w:sz w:val="24"/>
        </w:rPr>
      </w:pPr>
      <w:r w:rsidRPr="000A0524">
        <w:rPr>
          <w:rFonts w:ascii="宋体" w:eastAsia="宋体" w:hAnsi="宋体" w:cs="宋体"/>
          <w:kern w:val="0"/>
          <w:sz w:val="24"/>
        </w:rPr>
        <w:t>乙方是依法设立的证券经营机构，</w:t>
      </w:r>
      <w:r w:rsidRPr="000A0524">
        <w:rPr>
          <w:rFonts w:ascii="宋体" w:eastAsia="宋体" w:hAnsi="宋体" w:cs="宋体" w:hint="eastAsia"/>
          <w:kern w:val="0"/>
          <w:sz w:val="24"/>
        </w:rPr>
        <w:t>并</w:t>
      </w:r>
      <w:r w:rsidRPr="000A0524">
        <w:rPr>
          <w:rFonts w:ascii="宋体" w:eastAsia="宋体" w:hAnsi="宋体" w:cs="宋体"/>
          <w:kern w:val="0"/>
          <w:sz w:val="24"/>
        </w:rPr>
        <w:t>经中国证监会</w:t>
      </w:r>
      <w:r w:rsidRPr="000A0524">
        <w:rPr>
          <w:rFonts w:ascii="宋体" w:eastAsia="宋体" w:hAnsi="宋体" w:cs="宋体" w:hint="eastAsia"/>
          <w:kern w:val="0"/>
          <w:sz w:val="24"/>
        </w:rPr>
        <w:t>《关于核准中国建银投资证券有限责任公司融资融券业务资格的批复》（证监许可【2010】1681号）</w:t>
      </w:r>
      <w:r w:rsidRPr="000A0524">
        <w:rPr>
          <w:rFonts w:ascii="宋体" w:eastAsia="宋体" w:hAnsi="宋体" w:cs="宋体"/>
          <w:kern w:val="0"/>
          <w:sz w:val="24"/>
        </w:rPr>
        <w:t>批准</w:t>
      </w:r>
      <w:r w:rsidRPr="000A0524">
        <w:rPr>
          <w:rFonts w:ascii="宋体" w:eastAsia="宋体" w:hAnsi="宋体" w:cs="宋体" w:hint="eastAsia"/>
          <w:kern w:val="0"/>
          <w:sz w:val="24"/>
        </w:rPr>
        <w:t>，</w:t>
      </w:r>
      <w:r w:rsidRPr="000A0524">
        <w:rPr>
          <w:rFonts w:ascii="宋体" w:eastAsia="宋体" w:hAnsi="宋体" w:cs="宋体"/>
          <w:kern w:val="0"/>
          <w:sz w:val="24"/>
        </w:rPr>
        <w:t>具有从事融资融券业务的资格。</w:t>
      </w:r>
      <w:r w:rsidRPr="000A0524">
        <w:rPr>
          <w:rFonts w:ascii="宋体" w:eastAsia="宋体" w:hAnsi="宋体" w:cs="宋体" w:hint="eastAsia"/>
          <w:kern w:val="0"/>
          <w:sz w:val="24"/>
        </w:rPr>
        <w:t>（乙方名称已于2011年12月16日由“中国建银投资证券有限责任公司”变更为“中国中投证券有限责任公司”，于2019年8月13日，由“中国中投证券有限责任公司”变更为“中国中金财富证券有限公司”）。</w:t>
      </w:r>
    </w:p>
    <w:p w:rsidR="000A0524" w:rsidRPr="000A0524" w:rsidRDefault="000A0524" w:rsidP="000A0524">
      <w:pPr>
        <w:numPr>
          <w:ilvl w:val="0"/>
          <w:numId w:val="9"/>
        </w:numPr>
        <w:autoSpaceDE w:val="0"/>
        <w:autoSpaceDN w:val="0"/>
        <w:adjustRightInd w:val="0"/>
        <w:snapToGrid w:val="0"/>
        <w:spacing w:before="120" w:line="360" w:lineRule="auto"/>
        <w:rPr>
          <w:rFonts w:ascii="宋体" w:eastAsia="宋体" w:hAnsi="宋体" w:cs="宋体"/>
          <w:kern w:val="0"/>
          <w:sz w:val="24"/>
        </w:rPr>
      </w:pPr>
      <w:r w:rsidRPr="000A0524">
        <w:rPr>
          <w:rFonts w:ascii="宋体" w:eastAsia="宋体" w:hAnsi="宋体" w:cs="宋体" w:hint="eastAsia"/>
          <w:kern w:val="0"/>
          <w:sz w:val="24"/>
        </w:rPr>
        <w:t>乙方自愿遵</w:t>
      </w:r>
      <w:r w:rsidRPr="000A0524">
        <w:rPr>
          <w:rFonts w:ascii="宋体" w:eastAsia="宋体" w:hAnsi="宋体" w:cs="宋体"/>
          <w:kern w:val="0"/>
          <w:sz w:val="24"/>
        </w:rPr>
        <w:t>守有关法律、行政法规、规章</w:t>
      </w:r>
      <w:r w:rsidRPr="000A0524">
        <w:rPr>
          <w:rFonts w:ascii="宋体" w:eastAsia="宋体" w:hAnsi="宋体" w:cs="宋体" w:hint="eastAsia"/>
          <w:kern w:val="0"/>
          <w:sz w:val="24"/>
        </w:rPr>
        <w:t>、</w:t>
      </w:r>
      <w:r w:rsidRPr="000A0524">
        <w:rPr>
          <w:rFonts w:ascii="宋体" w:eastAsia="宋体" w:hAnsi="宋体" w:cs="宋体"/>
          <w:kern w:val="0"/>
          <w:sz w:val="24"/>
        </w:rPr>
        <w:t>规范</w:t>
      </w:r>
      <w:r w:rsidRPr="000A0524">
        <w:rPr>
          <w:rFonts w:ascii="宋体" w:eastAsia="宋体" w:hAnsi="宋体" w:cs="宋体" w:hint="eastAsia"/>
          <w:kern w:val="0"/>
          <w:sz w:val="24"/>
        </w:rPr>
        <w:t>性</w:t>
      </w:r>
      <w:r w:rsidRPr="000A0524">
        <w:rPr>
          <w:rFonts w:ascii="宋体" w:eastAsia="宋体" w:hAnsi="宋体" w:cs="宋体"/>
          <w:kern w:val="0"/>
          <w:sz w:val="24"/>
        </w:rPr>
        <w:t>文件</w:t>
      </w:r>
      <w:r w:rsidRPr="000A0524">
        <w:rPr>
          <w:rFonts w:ascii="宋体" w:eastAsia="宋体" w:hAnsi="宋体" w:cs="宋体" w:hint="eastAsia"/>
          <w:kern w:val="0"/>
          <w:sz w:val="24"/>
        </w:rPr>
        <w:t>、有关规则</w:t>
      </w:r>
      <w:r w:rsidRPr="000A0524">
        <w:rPr>
          <w:rFonts w:ascii="宋体" w:eastAsia="宋体" w:hAnsi="宋体" w:cs="宋体"/>
          <w:kern w:val="0"/>
          <w:sz w:val="24"/>
        </w:rPr>
        <w:t>及乙方制定的</w:t>
      </w:r>
      <w:r w:rsidRPr="000A0524">
        <w:rPr>
          <w:rFonts w:ascii="宋体" w:eastAsia="宋体" w:hAnsi="宋体" w:cs="宋体" w:hint="eastAsia"/>
          <w:kern w:val="0"/>
          <w:sz w:val="24"/>
        </w:rPr>
        <w:t>相关业务规定和内部管理制度及政策。</w:t>
      </w:r>
    </w:p>
    <w:p w:rsidR="000A0524" w:rsidRPr="000A0524" w:rsidRDefault="000A0524" w:rsidP="000A0524">
      <w:pPr>
        <w:numPr>
          <w:ilvl w:val="0"/>
          <w:numId w:val="9"/>
        </w:numPr>
        <w:autoSpaceDE w:val="0"/>
        <w:autoSpaceDN w:val="0"/>
        <w:adjustRightInd w:val="0"/>
        <w:snapToGrid w:val="0"/>
        <w:spacing w:line="360" w:lineRule="auto"/>
        <w:rPr>
          <w:rFonts w:ascii="宋体" w:eastAsia="宋体" w:hAnsi="宋体" w:cs="宋体"/>
          <w:kern w:val="0"/>
          <w:sz w:val="24"/>
        </w:rPr>
      </w:pPr>
      <w:r w:rsidRPr="000A0524">
        <w:rPr>
          <w:rFonts w:ascii="宋体" w:eastAsia="宋体" w:hAnsi="宋体" w:cs="宋体"/>
          <w:kern w:val="0"/>
          <w:sz w:val="24"/>
        </w:rPr>
        <w:t>乙方用于融资融券交易的资产（含资金和证券）来源合法</w:t>
      </w:r>
      <w:r w:rsidRPr="000A0524">
        <w:rPr>
          <w:rFonts w:ascii="宋体" w:eastAsia="宋体" w:hAnsi="宋体" w:cs="宋体" w:hint="eastAsia"/>
          <w:kern w:val="0"/>
          <w:sz w:val="24"/>
        </w:rPr>
        <w:t>。</w:t>
      </w:r>
    </w:p>
    <w:p w:rsidR="000A0524" w:rsidRPr="000A0524" w:rsidRDefault="000A0524" w:rsidP="000A0524">
      <w:pPr>
        <w:numPr>
          <w:ilvl w:val="0"/>
          <w:numId w:val="9"/>
        </w:numPr>
        <w:autoSpaceDE w:val="0"/>
        <w:autoSpaceDN w:val="0"/>
        <w:adjustRightInd w:val="0"/>
        <w:snapToGrid w:val="0"/>
        <w:spacing w:line="360" w:lineRule="auto"/>
        <w:rPr>
          <w:rFonts w:ascii="宋体" w:eastAsia="宋体" w:hAnsi="宋体" w:cs="宋体"/>
          <w:kern w:val="0"/>
          <w:sz w:val="24"/>
        </w:rPr>
      </w:pPr>
      <w:r w:rsidRPr="000A0524">
        <w:rPr>
          <w:rFonts w:ascii="宋体" w:eastAsia="宋体" w:hAnsi="宋体" w:cs="宋体-WinCharSetFFFF-H" w:hint="eastAsia"/>
          <w:kern w:val="0"/>
          <w:sz w:val="24"/>
        </w:rPr>
        <w:t>乙方已按照有关规定向甲方讲解了《融资融券交易风险揭示书》、融资融券业务规则和本合同内容，乙方确认已向甲方说明融资融券交易的风险，不保证甲方获得投资收益或承担甲方投资损失。</w:t>
      </w:r>
    </w:p>
    <w:p w:rsidR="000A0524" w:rsidRPr="000A0524" w:rsidRDefault="000A0524" w:rsidP="000A0524">
      <w:pPr>
        <w:numPr>
          <w:ilvl w:val="0"/>
          <w:numId w:val="9"/>
        </w:numPr>
        <w:autoSpaceDE w:val="0"/>
        <w:autoSpaceDN w:val="0"/>
        <w:adjustRightInd w:val="0"/>
        <w:snapToGrid w:val="0"/>
        <w:spacing w:line="360" w:lineRule="auto"/>
        <w:rPr>
          <w:rFonts w:ascii="宋体" w:eastAsia="宋体" w:hAnsi="宋体" w:cs="宋体"/>
          <w:kern w:val="0"/>
          <w:sz w:val="24"/>
        </w:rPr>
      </w:pPr>
      <w:r w:rsidRPr="000A0524">
        <w:rPr>
          <w:rFonts w:ascii="宋体" w:eastAsia="宋体" w:hAnsi="宋体" w:cs="宋体"/>
          <w:kern w:val="0"/>
          <w:sz w:val="24"/>
        </w:rPr>
        <w:lastRenderedPageBreak/>
        <w:t>乙方</w:t>
      </w:r>
      <w:r w:rsidRPr="000A0524">
        <w:rPr>
          <w:rFonts w:ascii="宋体" w:eastAsia="宋体" w:hAnsi="宋体" w:cs="宋体" w:hint="eastAsia"/>
          <w:kern w:val="0"/>
          <w:sz w:val="24"/>
        </w:rPr>
        <w:t>声明</w:t>
      </w:r>
      <w:r w:rsidRPr="000A0524">
        <w:rPr>
          <w:rFonts w:ascii="宋体" w:eastAsia="宋体" w:hAnsi="宋体" w:cs="宋体"/>
          <w:kern w:val="0"/>
          <w:sz w:val="24"/>
        </w:rPr>
        <w:t>不以任何方式保证甲方获得投资收益或承担甲方投资损失</w:t>
      </w:r>
      <w:r w:rsidRPr="000A0524">
        <w:rPr>
          <w:rFonts w:ascii="宋体" w:eastAsia="宋体" w:hAnsi="宋体" w:cs="宋体" w:hint="eastAsia"/>
          <w:kern w:val="0"/>
          <w:sz w:val="24"/>
        </w:rPr>
        <w:t>，不接受甲方的全权委托而决定证券买卖、选择证券种类、决定买卖数量或者买卖价格，不与甲方约定分享投资收益或者分担投资损失。</w:t>
      </w:r>
    </w:p>
    <w:p w:rsidR="000A0524" w:rsidRPr="000A0524" w:rsidRDefault="000A0524" w:rsidP="000A0524">
      <w:pPr>
        <w:autoSpaceDE w:val="0"/>
        <w:autoSpaceDN w:val="0"/>
        <w:adjustRightInd w:val="0"/>
        <w:snapToGrid w:val="0"/>
        <w:spacing w:line="360" w:lineRule="auto"/>
        <w:ind w:left="567"/>
        <w:rPr>
          <w:rFonts w:ascii="宋体" w:eastAsia="宋体" w:hAnsi="宋体" w:cs="宋体"/>
          <w:kern w:val="0"/>
          <w:sz w:val="24"/>
        </w:rPr>
      </w:pPr>
    </w:p>
    <w:p w:rsidR="000A0524" w:rsidRPr="000A0524" w:rsidRDefault="000A0524" w:rsidP="000A0524">
      <w:pPr>
        <w:spacing w:line="360" w:lineRule="auto"/>
        <w:ind w:firstLineChars="200" w:firstLine="482"/>
        <w:jc w:val="center"/>
        <w:rPr>
          <w:rFonts w:ascii="宋体" w:eastAsia="宋体" w:hAnsi="宋体" w:cs="Times New Roman"/>
          <w:b/>
          <w:sz w:val="24"/>
        </w:rPr>
      </w:pPr>
      <w:r w:rsidRPr="000A0524">
        <w:rPr>
          <w:rFonts w:ascii="宋体" w:eastAsia="宋体" w:hAnsi="宋体" w:cs="Times New Roman" w:hint="eastAsia"/>
          <w:b/>
          <w:sz w:val="24"/>
        </w:rPr>
        <w:t>第三章  权利与义务</w:t>
      </w:r>
    </w:p>
    <w:p w:rsidR="000A0524" w:rsidRPr="000A0524" w:rsidRDefault="000A0524" w:rsidP="000A0524">
      <w:pPr>
        <w:numPr>
          <w:ilvl w:val="1"/>
          <w:numId w:val="3"/>
        </w:numPr>
        <w:tabs>
          <w:tab w:val="num" w:pos="1418"/>
        </w:tabs>
        <w:spacing w:line="360" w:lineRule="auto"/>
        <w:rPr>
          <w:rFonts w:ascii="宋体" w:eastAsia="宋体" w:hAnsi="宋体" w:cs="Times New Roman"/>
          <w:sz w:val="24"/>
        </w:rPr>
      </w:pPr>
      <w:r w:rsidRPr="000A0524">
        <w:rPr>
          <w:rFonts w:ascii="宋体" w:eastAsia="宋体" w:hAnsi="宋体" w:cs="Times New Roman" w:hint="eastAsia"/>
          <w:sz w:val="24"/>
        </w:rPr>
        <w:t>甲方的权利和义务：</w:t>
      </w:r>
    </w:p>
    <w:p w:rsidR="000A0524" w:rsidRPr="000A0524" w:rsidRDefault="000A0524" w:rsidP="000A0524">
      <w:pPr>
        <w:numPr>
          <w:ilvl w:val="0"/>
          <w:numId w:val="11"/>
        </w:numPr>
        <w:autoSpaceDE w:val="0"/>
        <w:autoSpaceDN w:val="0"/>
        <w:adjustRightInd w:val="0"/>
        <w:snapToGrid w:val="0"/>
        <w:spacing w:line="360" w:lineRule="auto"/>
        <w:rPr>
          <w:rFonts w:ascii="宋体" w:eastAsia="宋体" w:hAnsi="宋体" w:cs="宋体-WinCharSetFFFF-H"/>
          <w:kern w:val="0"/>
          <w:sz w:val="24"/>
        </w:rPr>
      </w:pPr>
      <w:r w:rsidRPr="000A0524">
        <w:rPr>
          <w:rFonts w:ascii="宋体" w:eastAsia="宋体" w:hAnsi="宋体" w:cs="宋体-WinCharSetFFFF-H" w:hint="eastAsia"/>
          <w:kern w:val="0"/>
          <w:sz w:val="24"/>
        </w:rPr>
        <w:t>在符合本合同约定情况下，甲方有权通过向乙方提供担保物，从乙方处获得相应的资金或证券，用于相应的融资融券交易。</w:t>
      </w:r>
    </w:p>
    <w:p w:rsidR="000A0524" w:rsidRPr="000A0524" w:rsidRDefault="000A0524" w:rsidP="000A0524">
      <w:pPr>
        <w:numPr>
          <w:ilvl w:val="0"/>
          <w:numId w:val="11"/>
        </w:numPr>
        <w:autoSpaceDE w:val="0"/>
        <w:autoSpaceDN w:val="0"/>
        <w:adjustRightInd w:val="0"/>
        <w:snapToGrid w:val="0"/>
        <w:spacing w:line="360" w:lineRule="auto"/>
        <w:rPr>
          <w:rFonts w:ascii="宋体" w:eastAsia="宋体" w:hAnsi="宋体" w:cs="宋体-WinCharSetFFFF-H"/>
          <w:kern w:val="0"/>
          <w:sz w:val="24"/>
        </w:rPr>
      </w:pPr>
      <w:r w:rsidRPr="000A0524">
        <w:rPr>
          <w:rFonts w:ascii="宋体" w:eastAsia="宋体" w:hAnsi="宋体" w:cs="宋体-WinCharSetFFFF-H" w:hint="eastAsia"/>
          <w:kern w:val="0"/>
          <w:sz w:val="24"/>
        </w:rPr>
        <w:t>甲方有权按照约定方式知悉融资融券交易的有关信息，向乙方、证券登记结算公司、存管银行查询证券、资金等相关信息。</w:t>
      </w:r>
    </w:p>
    <w:p w:rsidR="000A0524" w:rsidRPr="000A0524" w:rsidRDefault="000A0524" w:rsidP="000A0524">
      <w:pPr>
        <w:numPr>
          <w:ilvl w:val="0"/>
          <w:numId w:val="11"/>
        </w:numPr>
        <w:autoSpaceDE w:val="0"/>
        <w:autoSpaceDN w:val="0"/>
        <w:adjustRightInd w:val="0"/>
        <w:snapToGrid w:val="0"/>
        <w:spacing w:line="360" w:lineRule="auto"/>
        <w:rPr>
          <w:rFonts w:ascii="宋体" w:eastAsia="宋体" w:hAnsi="宋体" w:cs="宋体-WinCharSetFFFF-H"/>
          <w:kern w:val="0"/>
          <w:sz w:val="24"/>
        </w:rPr>
      </w:pPr>
      <w:r w:rsidRPr="000A0524">
        <w:rPr>
          <w:rFonts w:ascii="宋体" w:eastAsia="宋体" w:hAnsi="宋体" w:cs="宋体-WinCharSetFFFF-H" w:hint="eastAsia"/>
          <w:kern w:val="0"/>
          <w:sz w:val="24"/>
        </w:rPr>
        <w:t>甲方因乙方的过错导致合法权益受到损害时，有权按照本合同约定得到相应赔偿。</w:t>
      </w:r>
    </w:p>
    <w:p w:rsidR="000A0524" w:rsidRPr="000A0524" w:rsidRDefault="000A0524" w:rsidP="000A0524">
      <w:pPr>
        <w:numPr>
          <w:ilvl w:val="0"/>
          <w:numId w:val="11"/>
        </w:numPr>
        <w:autoSpaceDE w:val="0"/>
        <w:autoSpaceDN w:val="0"/>
        <w:adjustRightInd w:val="0"/>
        <w:snapToGrid w:val="0"/>
        <w:spacing w:line="360" w:lineRule="auto"/>
        <w:rPr>
          <w:rFonts w:ascii="宋体" w:eastAsia="宋体" w:hAnsi="宋体" w:cs="宋体-WinCharSetFFFF-H"/>
          <w:kern w:val="0"/>
          <w:sz w:val="24"/>
        </w:rPr>
      </w:pPr>
      <w:r w:rsidRPr="000A0524">
        <w:rPr>
          <w:rFonts w:ascii="宋体" w:eastAsia="宋体" w:hAnsi="宋体" w:cs="宋体-WinCharSetFFFF-H" w:hint="eastAsia"/>
          <w:kern w:val="0"/>
          <w:sz w:val="24"/>
        </w:rPr>
        <w:t>甲方应配合乙方履行适当性义务。甲方若为普通投资者，甲方应配合乙方对其进行风险告知或警示时进行录音或录像，或通过符合法律、行政法规要求的电子方式进行确认。</w:t>
      </w:r>
    </w:p>
    <w:p w:rsidR="000A0524" w:rsidRPr="000A0524" w:rsidRDefault="000A0524" w:rsidP="000A0524">
      <w:pPr>
        <w:numPr>
          <w:ilvl w:val="0"/>
          <w:numId w:val="11"/>
        </w:numPr>
        <w:autoSpaceDE w:val="0"/>
        <w:autoSpaceDN w:val="0"/>
        <w:adjustRightInd w:val="0"/>
        <w:snapToGrid w:val="0"/>
        <w:spacing w:line="360" w:lineRule="auto"/>
        <w:rPr>
          <w:rFonts w:ascii="宋体" w:eastAsia="宋体" w:hAnsi="宋体" w:cs="宋体-WinCharSetFFFF-H"/>
          <w:kern w:val="0"/>
          <w:sz w:val="24"/>
        </w:rPr>
      </w:pPr>
      <w:r w:rsidRPr="000A0524">
        <w:rPr>
          <w:rFonts w:ascii="宋体" w:eastAsia="宋体" w:hAnsi="宋体" w:cs="宋体-WinCharSetFFFF-H" w:hint="eastAsia"/>
          <w:kern w:val="0"/>
          <w:sz w:val="24"/>
        </w:rPr>
        <w:t>甲方应在证券交易所及乙方指定的证券范围内进行融资、融券交易，不违法、违规进行证券交易。</w:t>
      </w:r>
    </w:p>
    <w:p w:rsidR="000A0524" w:rsidRPr="000A0524" w:rsidRDefault="000A0524" w:rsidP="000A0524">
      <w:pPr>
        <w:numPr>
          <w:ilvl w:val="0"/>
          <w:numId w:val="11"/>
        </w:numPr>
        <w:autoSpaceDE w:val="0"/>
        <w:autoSpaceDN w:val="0"/>
        <w:adjustRightInd w:val="0"/>
        <w:snapToGrid w:val="0"/>
        <w:spacing w:line="360" w:lineRule="auto"/>
        <w:rPr>
          <w:rFonts w:ascii="宋体" w:eastAsia="宋体" w:hAnsi="宋体" w:cs="宋体-WinCharSetFFFF-H"/>
          <w:kern w:val="0"/>
          <w:sz w:val="24"/>
        </w:rPr>
      </w:pPr>
      <w:r w:rsidRPr="000A0524">
        <w:rPr>
          <w:rFonts w:ascii="宋体" w:eastAsia="宋体" w:hAnsi="宋体" w:cs="宋体-WinCharSetFFFF-H" w:hint="eastAsia"/>
          <w:kern w:val="0"/>
          <w:sz w:val="24"/>
        </w:rPr>
        <w:t>甲方应按时、足额向乙方偿还融资资金、融券证券、融资利息、融券费用及其他相应费用，并按照规定缴纳与证券交易相关的税费。</w:t>
      </w:r>
    </w:p>
    <w:p w:rsidR="000A0524" w:rsidRPr="000A0524" w:rsidRDefault="000A0524" w:rsidP="000A0524">
      <w:pPr>
        <w:numPr>
          <w:ilvl w:val="0"/>
          <w:numId w:val="11"/>
        </w:numPr>
        <w:autoSpaceDE w:val="0"/>
        <w:autoSpaceDN w:val="0"/>
        <w:adjustRightInd w:val="0"/>
        <w:snapToGrid w:val="0"/>
        <w:spacing w:line="360" w:lineRule="auto"/>
        <w:rPr>
          <w:rFonts w:ascii="宋体" w:eastAsia="宋体" w:hAnsi="宋体" w:cs="宋体-WinCharSetFFFF-H"/>
          <w:kern w:val="0"/>
          <w:sz w:val="24"/>
        </w:rPr>
      </w:pPr>
      <w:r w:rsidRPr="000A0524">
        <w:rPr>
          <w:rFonts w:ascii="宋体" w:eastAsia="宋体" w:hAnsi="宋体" w:cs="宋体-WinCharSetFFFF-H" w:hint="eastAsia"/>
          <w:kern w:val="0"/>
          <w:sz w:val="24"/>
        </w:rPr>
        <w:t>甲方持有上市公司限售股份的，不得融券卖出该上市公司股票，也不得以其普通证券账户持有的限售股份充抵保证金。</w:t>
      </w:r>
    </w:p>
    <w:p w:rsidR="000A0524" w:rsidRPr="000A0524" w:rsidRDefault="000A0524" w:rsidP="000A0524">
      <w:pPr>
        <w:numPr>
          <w:ilvl w:val="0"/>
          <w:numId w:val="11"/>
        </w:numPr>
        <w:autoSpaceDE w:val="0"/>
        <w:autoSpaceDN w:val="0"/>
        <w:adjustRightInd w:val="0"/>
        <w:snapToGrid w:val="0"/>
        <w:spacing w:line="360" w:lineRule="auto"/>
        <w:rPr>
          <w:rFonts w:ascii="宋体" w:eastAsia="宋体" w:hAnsi="宋体" w:cs="宋体-WinCharSetFFFF-H"/>
          <w:kern w:val="0"/>
          <w:sz w:val="24"/>
        </w:rPr>
      </w:pPr>
      <w:r w:rsidRPr="000A0524">
        <w:rPr>
          <w:rFonts w:ascii="宋体" w:eastAsia="宋体" w:hAnsi="宋体" w:cs="宋体-WinCharSetFFFF-H" w:hint="eastAsia"/>
          <w:kern w:val="0"/>
          <w:sz w:val="24"/>
        </w:rPr>
        <w:t>甲方为自然人且持有上市公司解除限售存量股份的，不得以其普通证券账户持有的解除限售存量股份充抵保证金。</w:t>
      </w:r>
    </w:p>
    <w:p w:rsidR="000A0524" w:rsidRPr="000A0524" w:rsidRDefault="000A0524" w:rsidP="000A0524">
      <w:pPr>
        <w:numPr>
          <w:ilvl w:val="0"/>
          <w:numId w:val="11"/>
        </w:numPr>
        <w:autoSpaceDE w:val="0"/>
        <w:autoSpaceDN w:val="0"/>
        <w:adjustRightInd w:val="0"/>
        <w:snapToGrid w:val="0"/>
        <w:spacing w:line="360" w:lineRule="auto"/>
        <w:rPr>
          <w:rFonts w:ascii="宋体" w:eastAsia="宋体" w:hAnsi="宋体" w:cs="宋体-WinCharSetFFFF-H"/>
          <w:kern w:val="0"/>
          <w:sz w:val="24"/>
        </w:rPr>
      </w:pPr>
      <w:r w:rsidRPr="000A0524">
        <w:rPr>
          <w:rFonts w:ascii="宋体" w:eastAsia="宋体" w:hAnsi="宋体" w:cs="宋体-WinCharSetFFFF-H" w:hint="eastAsia"/>
          <w:kern w:val="0"/>
          <w:sz w:val="24"/>
        </w:rPr>
        <w:t>甲方为上市公司董事、监事、高级管理人员、持有上市公司股份5%以上的股东，不得开展以该上市公司股票为标的证券的融资融券交易。</w:t>
      </w:r>
    </w:p>
    <w:p w:rsidR="000A0524" w:rsidRPr="000A0524" w:rsidRDefault="000A0524" w:rsidP="000A0524">
      <w:pPr>
        <w:numPr>
          <w:ilvl w:val="0"/>
          <w:numId w:val="11"/>
        </w:numPr>
        <w:autoSpaceDE w:val="0"/>
        <w:autoSpaceDN w:val="0"/>
        <w:adjustRightInd w:val="0"/>
        <w:snapToGrid w:val="0"/>
        <w:spacing w:line="360" w:lineRule="auto"/>
        <w:rPr>
          <w:rFonts w:ascii="宋体" w:eastAsia="宋体" w:hAnsi="宋体" w:cs="宋体-WinCharSetFFFF-H"/>
          <w:kern w:val="0"/>
          <w:sz w:val="24"/>
        </w:rPr>
      </w:pPr>
      <w:r w:rsidRPr="000A0524">
        <w:rPr>
          <w:rFonts w:ascii="宋体" w:eastAsia="宋体" w:hAnsi="宋体" w:cs="宋体-WinCharSetFFFF-H" w:hint="eastAsia"/>
          <w:kern w:val="0"/>
          <w:sz w:val="24"/>
        </w:rPr>
        <w:t>法律、法规、规章、其他规范性文件规定的及本合同约定的其他权利和义务。</w:t>
      </w:r>
    </w:p>
    <w:p w:rsidR="000A0524" w:rsidRPr="000A0524" w:rsidRDefault="000A0524" w:rsidP="000A0524">
      <w:pPr>
        <w:numPr>
          <w:ilvl w:val="0"/>
          <w:numId w:val="11"/>
        </w:numPr>
        <w:autoSpaceDE w:val="0"/>
        <w:autoSpaceDN w:val="0"/>
        <w:adjustRightInd w:val="0"/>
        <w:snapToGrid w:val="0"/>
        <w:spacing w:line="360" w:lineRule="auto"/>
        <w:rPr>
          <w:rFonts w:ascii="宋体" w:eastAsia="宋体" w:hAnsi="宋体" w:cs="宋体-WinCharSetFFFF-H"/>
          <w:kern w:val="0"/>
          <w:sz w:val="24"/>
        </w:rPr>
      </w:pPr>
      <w:r w:rsidRPr="000A0524">
        <w:rPr>
          <w:rFonts w:ascii="宋体" w:eastAsia="宋体" w:hAnsi="宋体" w:cs="宋体-WinCharSetFFFF-H"/>
          <w:kern w:val="0"/>
          <w:sz w:val="24"/>
        </w:rPr>
        <w:t>甲方为</w:t>
      </w:r>
      <w:r w:rsidRPr="000A0524">
        <w:rPr>
          <w:rFonts w:ascii="宋体" w:eastAsia="宋体" w:hAnsi="宋体" w:cs="宋体-WinCharSetFFFF-H" w:hint="eastAsia"/>
          <w:kern w:val="0"/>
          <w:sz w:val="24"/>
        </w:rPr>
        <w:t>上市公司董事、监事、高级管理人员、持有上市公司股份5%以上的股东且通过信用证券账户进行交易的，应当遵守法律法规和证券交易所有关短线交易、信息披露、股份减持等相关规定。</w:t>
      </w:r>
    </w:p>
    <w:p w:rsidR="000A0524" w:rsidRPr="000A0524" w:rsidRDefault="000A0524" w:rsidP="000A0524">
      <w:pPr>
        <w:numPr>
          <w:ilvl w:val="1"/>
          <w:numId w:val="3"/>
        </w:numPr>
        <w:tabs>
          <w:tab w:val="num" w:pos="1418"/>
        </w:tabs>
        <w:spacing w:line="360" w:lineRule="auto"/>
        <w:rPr>
          <w:rFonts w:ascii="宋体" w:eastAsia="宋体" w:hAnsi="宋体" w:cs="Times New Roman"/>
          <w:sz w:val="24"/>
        </w:rPr>
      </w:pPr>
      <w:r w:rsidRPr="000A0524">
        <w:rPr>
          <w:rFonts w:ascii="宋体" w:eastAsia="宋体" w:hAnsi="宋体" w:cs="Times New Roman" w:hint="eastAsia"/>
          <w:sz w:val="24"/>
        </w:rPr>
        <w:lastRenderedPageBreak/>
        <w:t>乙方的权利和义务：</w:t>
      </w:r>
    </w:p>
    <w:p w:rsidR="000A0524" w:rsidRPr="000A0524" w:rsidRDefault="000A0524" w:rsidP="000A0524">
      <w:pPr>
        <w:numPr>
          <w:ilvl w:val="0"/>
          <w:numId w:val="12"/>
        </w:numPr>
        <w:autoSpaceDE w:val="0"/>
        <w:autoSpaceDN w:val="0"/>
        <w:adjustRightInd w:val="0"/>
        <w:snapToGrid w:val="0"/>
        <w:spacing w:line="360" w:lineRule="auto"/>
        <w:rPr>
          <w:rFonts w:ascii="宋体" w:eastAsia="宋体" w:hAnsi="宋体" w:cs="宋体-WinCharSetFFFF-H"/>
          <w:kern w:val="0"/>
          <w:sz w:val="24"/>
        </w:rPr>
      </w:pPr>
      <w:r w:rsidRPr="000A0524">
        <w:rPr>
          <w:rFonts w:ascii="宋体" w:eastAsia="宋体" w:hAnsi="宋体" w:cs="宋体-WinCharSetFFFF-H" w:hint="eastAsia"/>
          <w:kern w:val="0"/>
          <w:sz w:val="24"/>
        </w:rPr>
        <w:t>乙方有权要求甲方如实提供对其进行适当性评估所需的相关信息，若乙方发现甲方提供的信息不真实、不准确、不完整的，乙方有权拒绝向甲方提供融资融券业务。</w:t>
      </w:r>
    </w:p>
    <w:p w:rsidR="000A0524" w:rsidRPr="000A0524" w:rsidRDefault="000A0524" w:rsidP="000A0524">
      <w:pPr>
        <w:numPr>
          <w:ilvl w:val="0"/>
          <w:numId w:val="12"/>
        </w:numPr>
        <w:autoSpaceDE w:val="0"/>
        <w:autoSpaceDN w:val="0"/>
        <w:adjustRightInd w:val="0"/>
        <w:snapToGrid w:val="0"/>
        <w:spacing w:line="360" w:lineRule="auto"/>
        <w:rPr>
          <w:rFonts w:ascii="宋体" w:eastAsia="宋体" w:hAnsi="宋体" w:cs="宋体-WinCharSetFFFF-H"/>
          <w:kern w:val="0"/>
          <w:sz w:val="24"/>
        </w:rPr>
      </w:pPr>
      <w:r w:rsidRPr="000A0524">
        <w:rPr>
          <w:rFonts w:ascii="宋体" w:eastAsia="宋体" w:hAnsi="宋体" w:cs="宋体-WinCharSetFFFF-H" w:hint="eastAsia"/>
          <w:kern w:val="0"/>
          <w:sz w:val="24"/>
        </w:rPr>
        <w:t>乙方有权对甲方风险承受能力进行持续评估，若甲方后续风险承受能力、投资目标、投资期限与融资融券业务不匹配的，乙方有权要求甲方履行相关手续后再接受甲方如授信额度调整、合约展期等业务申请，否则乙方有权拒绝甲方的相关申请。对于甲方风险承受能力为最低风险类别的，乙方有权选择终止与甲方的融资融券业务合同，并对甲方信用账户进行融资买入或融券卖出交易限制，但甲方仍需偿还所欠乙方债务。</w:t>
      </w:r>
    </w:p>
    <w:p w:rsidR="000A0524" w:rsidRPr="000A0524" w:rsidRDefault="000A0524" w:rsidP="000A0524">
      <w:pPr>
        <w:numPr>
          <w:ilvl w:val="0"/>
          <w:numId w:val="12"/>
        </w:numPr>
        <w:autoSpaceDE w:val="0"/>
        <w:autoSpaceDN w:val="0"/>
        <w:adjustRightInd w:val="0"/>
        <w:snapToGrid w:val="0"/>
        <w:spacing w:line="360" w:lineRule="auto"/>
        <w:rPr>
          <w:rFonts w:ascii="宋体" w:eastAsia="宋体" w:hAnsi="宋体" w:cs="宋体-WinCharSetFFFF-H"/>
          <w:kern w:val="0"/>
          <w:sz w:val="24"/>
        </w:rPr>
      </w:pPr>
      <w:r w:rsidRPr="000A0524">
        <w:rPr>
          <w:rFonts w:ascii="宋体" w:eastAsia="宋体" w:hAnsi="宋体" w:cs="宋体-WinCharSetFFFF-H" w:hint="eastAsia"/>
          <w:kern w:val="0"/>
          <w:sz w:val="24"/>
        </w:rPr>
        <w:t>乙方有权要求甲方提交与融资融券交易相关的各类有效身份证明文件和信用状况证明材料并对相关内容进行解释或说明。</w:t>
      </w:r>
    </w:p>
    <w:p w:rsidR="000A0524" w:rsidRPr="000A0524" w:rsidRDefault="000A0524" w:rsidP="000A0524">
      <w:pPr>
        <w:numPr>
          <w:ilvl w:val="0"/>
          <w:numId w:val="12"/>
        </w:numPr>
        <w:autoSpaceDE w:val="0"/>
        <w:autoSpaceDN w:val="0"/>
        <w:adjustRightInd w:val="0"/>
        <w:snapToGrid w:val="0"/>
        <w:spacing w:line="360" w:lineRule="auto"/>
        <w:rPr>
          <w:rFonts w:ascii="宋体" w:eastAsia="宋体" w:hAnsi="宋体" w:cs="宋体-WinCharSetFFFF-H"/>
          <w:kern w:val="0"/>
          <w:sz w:val="24"/>
        </w:rPr>
      </w:pPr>
      <w:r w:rsidRPr="000A0524">
        <w:rPr>
          <w:rFonts w:ascii="宋体" w:eastAsia="宋体" w:hAnsi="宋体" w:cs="宋体-WinCharSetFFFF-H" w:hint="eastAsia"/>
          <w:kern w:val="0"/>
          <w:sz w:val="24"/>
        </w:rPr>
        <w:t>乙方有权以合法方式对甲方资信状况、履约能力进行必要的了解，并根据甲方的资信状况、担保物价值、履约情况、市场变化、乙方财务安排等综合因素，确定并适时调整对甲方的信用级别、授信额度。</w:t>
      </w:r>
    </w:p>
    <w:p w:rsidR="000A0524" w:rsidRPr="000A0524" w:rsidRDefault="000A0524" w:rsidP="000A0524">
      <w:pPr>
        <w:numPr>
          <w:ilvl w:val="0"/>
          <w:numId w:val="12"/>
        </w:numPr>
        <w:autoSpaceDE w:val="0"/>
        <w:autoSpaceDN w:val="0"/>
        <w:adjustRightInd w:val="0"/>
        <w:snapToGrid w:val="0"/>
        <w:spacing w:line="360" w:lineRule="auto"/>
        <w:rPr>
          <w:rFonts w:ascii="宋体" w:eastAsia="宋体" w:hAnsi="宋体" w:cs="宋体-WinCharSetFFFF-H"/>
          <w:kern w:val="0"/>
          <w:sz w:val="24"/>
        </w:rPr>
      </w:pPr>
      <w:r w:rsidRPr="000A0524">
        <w:rPr>
          <w:rFonts w:ascii="宋体" w:eastAsia="宋体" w:hAnsi="宋体" w:cs="宋体-WinCharSetFFFF-H" w:hint="eastAsia"/>
          <w:kern w:val="0"/>
          <w:sz w:val="24"/>
        </w:rPr>
        <w:t>乙方不保证甲方实际融资、融券负债总金额达到授信额度。</w:t>
      </w:r>
    </w:p>
    <w:p w:rsidR="000A0524" w:rsidRPr="000A0524" w:rsidRDefault="000A0524" w:rsidP="000A0524">
      <w:pPr>
        <w:numPr>
          <w:ilvl w:val="0"/>
          <w:numId w:val="12"/>
        </w:numPr>
        <w:autoSpaceDE w:val="0"/>
        <w:autoSpaceDN w:val="0"/>
        <w:adjustRightInd w:val="0"/>
        <w:snapToGrid w:val="0"/>
        <w:spacing w:line="360" w:lineRule="auto"/>
        <w:rPr>
          <w:rFonts w:ascii="宋体" w:eastAsia="宋体" w:hAnsi="宋体" w:cs="宋体-WinCharSetFFFF-H"/>
          <w:kern w:val="0"/>
          <w:sz w:val="24"/>
        </w:rPr>
      </w:pPr>
      <w:r w:rsidRPr="000A0524">
        <w:rPr>
          <w:rFonts w:ascii="宋体" w:eastAsia="宋体" w:hAnsi="宋体" w:cs="宋体-WinCharSetFFFF-H" w:hint="eastAsia"/>
          <w:kern w:val="0"/>
          <w:sz w:val="24"/>
        </w:rPr>
        <w:t>乙方有权制订融资融券业务集中度指标，甲方融资融券交易、提交可充抵保证金证券的数量将受到上述集中度指标控制，</w:t>
      </w:r>
      <w:r w:rsidRPr="000A0524">
        <w:rPr>
          <w:rFonts w:ascii="宋体" w:eastAsia="宋体" w:hAnsi="宋体" w:cs="Times New Roman" w:hint="eastAsia"/>
          <w:sz w:val="24"/>
          <w:szCs w:val="24"/>
        </w:rPr>
        <w:t>乙方有权拒绝甲方发出的委托，具体集中度指标及阈值以乙方公告为准</w:t>
      </w:r>
      <w:r w:rsidRPr="000A0524">
        <w:rPr>
          <w:rFonts w:ascii="宋体" w:eastAsia="宋体" w:hAnsi="宋体" w:cs="宋体-WinCharSetFFFF-H" w:hint="eastAsia"/>
          <w:kern w:val="0"/>
          <w:sz w:val="24"/>
        </w:rPr>
        <w:t>。</w:t>
      </w:r>
    </w:p>
    <w:p w:rsidR="000A0524" w:rsidRPr="000A0524" w:rsidRDefault="000A0524" w:rsidP="000A0524">
      <w:pPr>
        <w:numPr>
          <w:ilvl w:val="0"/>
          <w:numId w:val="12"/>
        </w:numPr>
        <w:autoSpaceDE w:val="0"/>
        <w:autoSpaceDN w:val="0"/>
        <w:adjustRightInd w:val="0"/>
        <w:snapToGrid w:val="0"/>
        <w:spacing w:line="360" w:lineRule="auto"/>
        <w:rPr>
          <w:rFonts w:ascii="宋体" w:eastAsia="宋体" w:hAnsi="宋体" w:cs="宋体-WinCharSetFFFF-H"/>
          <w:kern w:val="0"/>
          <w:sz w:val="24"/>
        </w:rPr>
      </w:pPr>
      <w:r w:rsidRPr="000A0524">
        <w:rPr>
          <w:rFonts w:ascii="宋体" w:eastAsia="宋体" w:hAnsi="宋体" w:cs="宋体-WinCharSetFFFF-H" w:hint="eastAsia"/>
          <w:kern w:val="0"/>
          <w:sz w:val="24"/>
        </w:rPr>
        <w:t>当出现本合同约定的须强制平仓的情形时，乙方有权但无义务对甲方的担保物实行强制平仓。强制平仓所得资金应当优先用于归还甲方向乙方所借的本金、利息和融券费用等所有甲方应付债务，强制平仓所得证券用于归还甲方向乙方所借的证券，强制平仓后仍不足偿还的，乙方有权向甲方追索。</w:t>
      </w:r>
    </w:p>
    <w:p w:rsidR="000A0524" w:rsidRPr="000A0524" w:rsidRDefault="000A0524" w:rsidP="000A0524">
      <w:pPr>
        <w:numPr>
          <w:ilvl w:val="0"/>
          <w:numId w:val="12"/>
        </w:numPr>
        <w:autoSpaceDE w:val="0"/>
        <w:autoSpaceDN w:val="0"/>
        <w:adjustRightInd w:val="0"/>
        <w:snapToGrid w:val="0"/>
        <w:spacing w:line="360" w:lineRule="auto"/>
        <w:rPr>
          <w:rFonts w:ascii="宋体" w:eastAsia="宋体" w:hAnsi="宋体" w:cs="宋体-WinCharSetFFFF-H"/>
          <w:kern w:val="0"/>
          <w:sz w:val="24"/>
        </w:rPr>
      </w:pPr>
      <w:r w:rsidRPr="000A0524">
        <w:rPr>
          <w:rFonts w:ascii="宋体" w:eastAsia="宋体" w:hAnsi="宋体" w:cs="宋体-WinCharSetFFFF-H" w:hint="eastAsia"/>
          <w:kern w:val="0"/>
          <w:sz w:val="24"/>
        </w:rPr>
        <w:t>依据合同的约定为甲方提供证券交易所需的资金、证券；将甲方授信额度的变化情况实时更新于甲方信用账户信息中，方便甲方查询。</w:t>
      </w:r>
    </w:p>
    <w:p w:rsidR="000A0524" w:rsidRPr="000A0524" w:rsidRDefault="000A0524" w:rsidP="000A0524">
      <w:pPr>
        <w:numPr>
          <w:ilvl w:val="0"/>
          <w:numId w:val="12"/>
        </w:numPr>
        <w:autoSpaceDE w:val="0"/>
        <w:autoSpaceDN w:val="0"/>
        <w:adjustRightInd w:val="0"/>
        <w:snapToGrid w:val="0"/>
        <w:spacing w:line="360" w:lineRule="auto"/>
        <w:rPr>
          <w:rFonts w:ascii="宋体" w:eastAsia="宋体" w:hAnsi="宋体" w:cs="宋体-WinCharSetFFFF-H"/>
          <w:kern w:val="0"/>
          <w:sz w:val="24"/>
        </w:rPr>
      </w:pPr>
      <w:r w:rsidRPr="000A0524">
        <w:rPr>
          <w:rFonts w:ascii="宋体" w:eastAsia="宋体" w:hAnsi="宋体" w:cs="宋体-WinCharSetFFFF-H" w:hint="eastAsia"/>
          <w:kern w:val="0"/>
          <w:sz w:val="24"/>
        </w:rPr>
        <w:t>为甲方建立融资融券交易明细账，如实记载甲方融资融券交易的情况，供甲方查询并提供对账服务；以本合同约定的通知方式及时通知甲方授信额度的变化情况。</w:t>
      </w:r>
    </w:p>
    <w:p w:rsidR="000A0524" w:rsidRPr="000A0524" w:rsidRDefault="000A0524" w:rsidP="000A0524">
      <w:pPr>
        <w:numPr>
          <w:ilvl w:val="0"/>
          <w:numId w:val="12"/>
        </w:numPr>
        <w:autoSpaceDE w:val="0"/>
        <w:autoSpaceDN w:val="0"/>
        <w:adjustRightInd w:val="0"/>
        <w:snapToGrid w:val="0"/>
        <w:spacing w:line="360" w:lineRule="auto"/>
        <w:rPr>
          <w:rFonts w:ascii="宋体" w:eastAsia="宋体" w:hAnsi="宋体" w:cs="宋体-WinCharSetFFFF-H"/>
          <w:kern w:val="0"/>
          <w:sz w:val="24"/>
        </w:rPr>
      </w:pPr>
      <w:r w:rsidRPr="000A0524">
        <w:rPr>
          <w:rFonts w:ascii="宋体" w:eastAsia="宋体" w:hAnsi="宋体" w:cs="宋体-WinCharSetFFFF-H" w:hint="eastAsia"/>
          <w:kern w:val="0"/>
          <w:sz w:val="24"/>
        </w:rPr>
        <w:t>在乙方制定的相关业务操作规则变更后，及时以乙方网站及营业部营业场所公告或交易系统提示方式通知甲方。</w:t>
      </w:r>
    </w:p>
    <w:p w:rsidR="000A0524" w:rsidRPr="000A0524" w:rsidRDefault="000A0524" w:rsidP="000A0524">
      <w:pPr>
        <w:numPr>
          <w:ilvl w:val="0"/>
          <w:numId w:val="12"/>
        </w:numPr>
        <w:autoSpaceDE w:val="0"/>
        <w:autoSpaceDN w:val="0"/>
        <w:adjustRightInd w:val="0"/>
        <w:snapToGrid w:val="0"/>
        <w:spacing w:line="360" w:lineRule="auto"/>
        <w:rPr>
          <w:rFonts w:ascii="宋体" w:eastAsia="宋体" w:hAnsi="宋体" w:cs="宋体-WinCharSetFFFF-H"/>
          <w:kern w:val="0"/>
          <w:sz w:val="24"/>
        </w:rPr>
      </w:pPr>
      <w:r w:rsidRPr="000A0524">
        <w:rPr>
          <w:rFonts w:ascii="宋体" w:eastAsia="宋体" w:hAnsi="宋体" w:cs="宋体-WinCharSetFFFF-H" w:hint="eastAsia"/>
          <w:kern w:val="0"/>
          <w:sz w:val="24"/>
        </w:rPr>
        <w:lastRenderedPageBreak/>
        <w:t>法律、法规、规章、其他规范性文件规定的及本合同约定的其他权利和义务。</w:t>
      </w:r>
    </w:p>
    <w:p w:rsidR="000A0524" w:rsidRPr="000A0524" w:rsidRDefault="000A0524" w:rsidP="000A0524">
      <w:pPr>
        <w:spacing w:line="360" w:lineRule="auto"/>
        <w:rPr>
          <w:rFonts w:ascii="宋体" w:eastAsia="宋体" w:hAnsi="宋体" w:cs="Times New Roman"/>
          <w:b/>
          <w:sz w:val="24"/>
        </w:rPr>
      </w:pPr>
    </w:p>
    <w:p w:rsidR="000A0524" w:rsidRPr="000A0524" w:rsidRDefault="000A0524" w:rsidP="000A0524">
      <w:pPr>
        <w:spacing w:line="360" w:lineRule="auto"/>
        <w:jc w:val="center"/>
        <w:rPr>
          <w:rFonts w:ascii="宋体" w:eastAsia="宋体" w:hAnsi="宋体" w:cs="Times New Roman"/>
          <w:b/>
          <w:sz w:val="24"/>
        </w:rPr>
      </w:pPr>
      <w:r w:rsidRPr="000A0524">
        <w:rPr>
          <w:rFonts w:ascii="宋体" w:eastAsia="宋体" w:hAnsi="宋体" w:cs="Times New Roman" w:hint="eastAsia"/>
          <w:b/>
          <w:sz w:val="24"/>
        </w:rPr>
        <w:t>第四章  信用账户</w:t>
      </w:r>
    </w:p>
    <w:p w:rsidR="000A0524" w:rsidRPr="000A0524" w:rsidRDefault="000A0524" w:rsidP="000A0524">
      <w:pPr>
        <w:numPr>
          <w:ilvl w:val="1"/>
          <w:numId w:val="3"/>
        </w:numPr>
        <w:spacing w:line="360" w:lineRule="auto"/>
        <w:rPr>
          <w:rFonts w:ascii="宋体" w:eastAsia="宋体" w:hAnsi="宋体" w:cs="宋体"/>
          <w:sz w:val="24"/>
        </w:rPr>
      </w:pPr>
      <w:r w:rsidRPr="000A0524">
        <w:rPr>
          <w:rFonts w:ascii="宋体" w:eastAsia="宋体" w:hAnsi="宋体" w:cs="Times New Roman" w:hint="eastAsia"/>
          <w:sz w:val="24"/>
        </w:rPr>
        <w:t>甲方参与融资融券交易，应当在通过乙方的客户资格审核，并与乙方签署了《融资融券交易风险揭示书》和本合同后，甲方通过乙方向中国证券登记结算有限责任公司</w:t>
      </w:r>
      <w:r w:rsidRPr="000A0524">
        <w:rPr>
          <w:rFonts w:ascii="宋体" w:eastAsia="宋体" w:hAnsi="宋体" w:cs="宋体" w:hint="eastAsia"/>
          <w:sz w:val="24"/>
        </w:rPr>
        <w:t>申请开立实名信用证券账户，作为乙方“</w:t>
      </w:r>
      <w:r w:rsidRPr="000A0524">
        <w:rPr>
          <w:rFonts w:ascii="宋体" w:eastAsia="宋体" w:hAnsi="宋体" w:cs="Times New Roman" w:hint="eastAsia"/>
          <w:sz w:val="24"/>
        </w:rPr>
        <w:t>客户信用交易担保证券账户”</w:t>
      </w:r>
      <w:r w:rsidRPr="000A0524">
        <w:rPr>
          <w:rFonts w:ascii="宋体" w:eastAsia="宋体" w:hAnsi="宋体" w:cs="宋体" w:hint="eastAsia"/>
          <w:sz w:val="24"/>
        </w:rPr>
        <w:t>的二级账户，用于记载甲方委托乙方持有的担保证券的明细数据。甲方信用证券账户与其普通证券账户的姓名或名称应当一致。</w:t>
      </w:r>
    </w:p>
    <w:p w:rsidR="000A0524" w:rsidRPr="000A0524" w:rsidRDefault="000A0524" w:rsidP="000A0524">
      <w:pPr>
        <w:numPr>
          <w:ilvl w:val="1"/>
          <w:numId w:val="3"/>
        </w:numPr>
        <w:tabs>
          <w:tab w:val="num" w:pos="1418"/>
        </w:tabs>
        <w:spacing w:line="360" w:lineRule="auto"/>
        <w:rPr>
          <w:rFonts w:ascii="宋体" w:eastAsia="宋体" w:hAnsi="宋体" w:cs="Times New Roman"/>
          <w:sz w:val="24"/>
        </w:rPr>
      </w:pPr>
      <w:r w:rsidRPr="000A0524">
        <w:rPr>
          <w:rFonts w:ascii="宋体" w:eastAsia="宋体" w:hAnsi="宋体" w:cs="Times New Roman" w:hint="eastAsia"/>
          <w:sz w:val="24"/>
        </w:rPr>
        <w:t>甲方按照有关规定，在存管银行开立实名信用资金账户，作为乙方“客户信用交易担保资金账户”的二级账户，用于记载甲方交存的担保资金的明细数据。</w:t>
      </w:r>
    </w:p>
    <w:p w:rsidR="000A0524" w:rsidRPr="000A0524" w:rsidRDefault="000A0524" w:rsidP="000A0524">
      <w:pPr>
        <w:numPr>
          <w:ilvl w:val="1"/>
          <w:numId w:val="3"/>
        </w:numPr>
        <w:tabs>
          <w:tab w:val="num" w:pos="1418"/>
        </w:tabs>
        <w:spacing w:line="360" w:lineRule="auto"/>
        <w:rPr>
          <w:rFonts w:ascii="宋体" w:eastAsia="宋体" w:hAnsi="宋体" w:cs="Times New Roman"/>
          <w:sz w:val="24"/>
        </w:rPr>
      </w:pPr>
      <w:r w:rsidRPr="000A0524">
        <w:rPr>
          <w:rFonts w:ascii="宋体" w:eastAsia="宋体" w:hAnsi="宋体" w:cs="仿宋..甀" w:hint="eastAsia"/>
          <w:kern w:val="0"/>
          <w:sz w:val="24"/>
        </w:rPr>
        <w:t>甲方通过乙方指定的系统(或存管银行提供的渠道)办理担保资金转账业务，甲方担保资金的取出，只能通过转账的方式转入其在指定存管银行开立的结算账户中，甲方再通过银行结算账户办理资金的取出和划转。甲方委托转账时间以存管银行规定为准。甲方委托转账时，账户上应有足够的资金且满足担保资金划转的条件，否则视为无效委托，由此产生的后果由甲方自行承担。甲方通过指定系统完成的资金划转均以银行电脑自动记录为准。</w:t>
      </w:r>
    </w:p>
    <w:p w:rsidR="000A0524" w:rsidRPr="000A0524" w:rsidRDefault="000A0524" w:rsidP="000A0524">
      <w:pPr>
        <w:tabs>
          <w:tab w:val="num" w:pos="1418"/>
        </w:tabs>
        <w:spacing w:line="360" w:lineRule="auto"/>
        <w:rPr>
          <w:rFonts w:ascii="宋体" w:eastAsia="宋体" w:hAnsi="宋体" w:cs="Times New Roman"/>
          <w:sz w:val="24"/>
        </w:rPr>
      </w:pPr>
      <w:r w:rsidRPr="000A0524">
        <w:rPr>
          <w:rFonts w:ascii="宋体" w:eastAsia="宋体" w:hAnsi="宋体" w:cs="Times New Roman" w:hint="eastAsia"/>
          <w:sz w:val="24"/>
        </w:rPr>
        <w:t>【如属于甲方原已与中金公司签署融资融券合同及在中金公司开立信用账户，因中金公司与乙方进行业务整合，而将甲方信用账户从中金公司迁移至乙方的情形，则甲方同意，甲方与中金公司、存管银行已签署的客户信用资金存管协议项下中金公司的权利义务，自甲方信用账户迁移至乙方起，全部由乙方承继。中金公司与乙方进行业务整合及账户迁移具体安排以中金公司和乙方发布的公告内容为准。】</w:t>
      </w:r>
    </w:p>
    <w:p w:rsidR="000A0524" w:rsidRPr="000A0524" w:rsidRDefault="000A0524" w:rsidP="000A0524">
      <w:pPr>
        <w:numPr>
          <w:ilvl w:val="1"/>
          <w:numId w:val="3"/>
        </w:numPr>
        <w:spacing w:line="360" w:lineRule="auto"/>
        <w:rPr>
          <w:rFonts w:ascii="宋体" w:eastAsia="宋体" w:hAnsi="宋体" w:cs="宋体"/>
          <w:sz w:val="24"/>
        </w:rPr>
      </w:pPr>
      <w:r w:rsidRPr="000A0524">
        <w:rPr>
          <w:rFonts w:ascii="宋体" w:eastAsia="宋体" w:hAnsi="宋体" w:cs="宋体" w:hint="eastAsia"/>
          <w:sz w:val="24"/>
        </w:rPr>
        <w:t>甲方用于一家证券交易所上市证券交易的信用证券账户只能有一个。甲方信用证券账户的姓名或名称应当与其普通证券账户一致。</w:t>
      </w:r>
    </w:p>
    <w:p w:rsidR="000A0524" w:rsidRPr="000A0524" w:rsidRDefault="000A0524" w:rsidP="000A0524">
      <w:pPr>
        <w:numPr>
          <w:ilvl w:val="1"/>
          <w:numId w:val="3"/>
        </w:numPr>
        <w:spacing w:line="360" w:lineRule="auto"/>
        <w:rPr>
          <w:rFonts w:ascii="宋体" w:eastAsia="宋体" w:hAnsi="宋体" w:cs="宋体"/>
          <w:sz w:val="24"/>
        </w:rPr>
      </w:pPr>
      <w:r w:rsidRPr="000A0524">
        <w:rPr>
          <w:rFonts w:ascii="宋体" w:eastAsia="宋体" w:hAnsi="宋体" w:cs="宋体" w:hint="eastAsia"/>
          <w:sz w:val="24"/>
        </w:rPr>
        <w:t>乙方将委托证券登记结算公司根据清算、交收结果等，对甲方的信用证券账户内的数据进行变更。</w:t>
      </w:r>
    </w:p>
    <w:p w:rsidR="000A0524" w:rsidRPr="000A0524" w:rsidRDefault="000A0524" w:rsidP="000A0524">
      <w:pPr>
        <w:numPr>
          <w:ilvl w:val="1"/>
          <w:numId w:val="3"/>
        </w:numPr>
        <w:tabs>
          <w:tab w:val="num" w:pos="1418"/>
        </w:tabs>
        <w:spacing w:line="360" w:lineRule="auto"/>
        <w:rPr>
          <w:rFonts w:ascii="宋体" w:eastAsia="宋体" w:hAnsi="宋体" w:cs="Times New Roman"/>
          <w:sz w:val="24"/>
        </w:rPr>
      </w:pPr>
      <w:r w:rsidRPr="000A0524">
        <w:rPr>
          <w:rFonts w:ascii="宋体" w:eastAsia="宋体" w:hAnsi="宋体" w:cs="Times New Roman" w:hint="eastAsia"/>
          <w:sz w:val="24"/>
        </w:rPr>
        <w:t>甲方应妥善保管各项开户资料、合同、凭证单据、账户密码等。由于甲</w:t>
      </w:r>
      <w:r w:rsidRPr="000A0524">
        <w:rPr>
          <w:rFonts w:ascii="宋体" w:eastAsia="宋体" w:hAnsi="宋体" w:cs="Times New Roman" w:hint="eastAsia"/>
          <w:sz w:val="24"/>
        </w:rPr>
        <w:lastRenderedPageBreak/>
        <w:t>方原因遗失相关文件或泄露相关信息，造成甲方或第三人损失的，由甲方自行承担责任。如其他人准确使用甲方账户和交易密码进行委托交易或修改甲方资料，均视为甲方本人的行为，其产生的后果均由甲方承担。</w:t>
      </w:r>
    </w:p>
    <w:p w:rsidR="000A0524" w:rsidRPr="000A0524" w:rsidRDefault="000A0524" w:rsidP="000A0524">
      <w:pPr>
        <w:numPr>
          <w:ilvl w:val="1"/>
          <w:numId w:val="3"/>
        </w:numPr>
        <w:tabs>
          <w:tab w:val="num" w:pos="1418"/>
        </w:tabs>
        <w:spacing w:line="360" w:lineRule="auto"/>
        <w:rPr>
          <w:rFonts w:ascii="宋体" w:eastAsia="宋体" w:hAnsi="宋体" w:cs="Times New Roman"/>
          <w:sz w:val="24"/>
        </w:rPr>
      </w:pPr>
      <w:r w:rsidRPr="000A0524">
        <w:rPr>
          <w:rFonts w:ascii="宋体" w:eastAsia="宋体" w:hAnsi="宋体" w:cs="Times New Roman" w:hint="eastAsia"/>
          <w:bCs/>
          <w:sz w:val="24"/>
        </w:rPr>
        <w:t>甲乙双方解除本合同后，甲方应当向乙方申请注销相关信用账户，或者直接由乙方根据有关法律、法规、规章、规则及乙方相关业务规则的规定注销相关信用账户。</w:t>
      </w:r>
      <w:r w:rsidRPr="000A0524">
        <w:rPr>
          <w:rFonts w:ascii="宋体" w:eastAsia="宋体" w:hAnsi="宋体" w:cs="Times New Roman" w:hint="eastAsia"/>
          <w:sz w:val="24"/>
        </w:rPr>
        <w:t>注销信用账户前应了结全部的融资融券交易，并归还融资利息、融券费用及相关手续费。若有剩余证券和资金的，甲方应当申请将剩余证券转到其普通账户，剩余资金从其信用资金账户中转出。</w:t>
      </w:r>
      <w:r w:rsidRPr="000A0524">
        <w:rPr>
          <w:rFonts w:ascii="宋体" w:eastAsia="宋体" w:hAnsi="宋体" w:cs="Arial" w:hint="eastAsia"/>
          <w:bCs/>
          <w:kern w:val="0"/>
          <w:sz w:val="24"/>
        </w:rPr>
        <w:t>注销信用账户前，甲方普通账户不得销户，已在乙方处指定交易的上海证券交易所普通证券账户不得撤销指定交易。</w:t>
      </w:r>
    </w:p>
    <w:p w:rsidR="000A0524" w:rsidRPr="000A0524" w:rsidRDefault="000A0524" w:rsidP="000A0524">
      <w:pPr>
        <w:spacing w:line="360" w:lineRule="auto"/>
        <w:rPr>
          <w:rFonts w:ascii="宋体" w:eastAsia="宋体" w:hAnsi="宋体" w:cs="Times New Roman"/>
          <w:sz w:val="24"/>
        </w:rPr>
      </w:pPr>
    </w:p>
    <w:p w:rsidR="000A0524" w:rsidRPr="000A0524" w:rsidRDefault="000A0524" w:rsidP="000A0524">
      <w:pPr>
        <w:spacing w:line="360" w:lineRule="auto"/>
        <w:jc w:val="center"/>
        <w:rPr>
          <w:rFonts w:ascii="宋体" w:eastAsia="宋体" w:hAnsi="宋体" w:cs="Times New Roman"/>
          <w:b/>
          <w:sz w:val="24"/>
        </w:rPr>
      </w:pPr>
      <w:r w:rsidRPr="000A0524">
        <w:rPr>
          <w:rFonts w:ascii="宋体" w:eastAsia="宋体" w:hAnsi="宋体" w:cs="Times New Roman" w:hint="eastAsia"/>
          <w:b/>
          <w:sz w:val="24"/>
        </w:rPr>
        <w:t xml:space="preserve">第五章  </w:t>
      </w:r>
      <w:r w:rsidRPr="000A0524">
        <w:rPr>
          <w:rFonts w:ascii="宋体" w:eastAsia="宋体" w:hAnsi="宋体" w:cs="Times New Roman" w:hint="eastAsia"/>
          <w:b/>
          <w:sz w:val="24"/>
        </w:rPr>
        <w:tab/>
        <w:t>融资融券特定的财产信托关系</w:t>
      </w:r>
    </w:p>
    <w:p w:rsidR="000A0524" w:rsidRPr="000A0524" w:rsidRDefault="000A0524" w:rsidP="000A0524">
      <w:pPr>
        <w:numPr>
          <w:ilvl w:val="1"/>
          <w:numId w:val="3"/>
        </w:numPr>
        <w:tabs>
          <w:tab w:val="num" w:pos="1418"/>
        </w:tabs>
        <w:spacing w:line="360" w:lineRule="auto"/>
        <w:rPr>
          <w:rFonts w:ascii="宋体" w:eastAsia="宋体" w:hAnsi="宋体" w:cs="Times New Roman"/>
          <w:sz w:val="24"/>
        </w:rPr>
      </w:pPr>
      <w:r w:rsidRPr="000A0524">
        <w:rPr>
          <w:rFonts w:ascii="宋体" w:eastAsia="宋体" w:hAnsi="宋体" w:cs="Times New Roman" w:hint="eastAsia"/>
          <w:sz w:val="24"/>
        </w:rPr>
        <w:t xml:space="preserve"> 信托目的。甲方自愿将保证金（含充抵保证金的证券，下同）、融资买入的全部证券和融券卖出所得全部资金以及上述资金、证券所生孳息等转移给乙方，设立以乙方为受托人、甲方与乙方为共同受益人、以担保乙方对甲方的融资融券债权为目的的信托。</w:t>
      </w:r>
    </w:p>
    <w:p w:rsidR="000A0524" w:rsidRPr="000A0524" w:rsidRDefault="000A0524" w:rsidP="000A0524">
      <w:pPr>
        <w:numPr>
          <w:ilvl w:val="1"/>
          <w:numId w:val="3"/>
        </w:numPr>
        <w:tabs>
          <w:tab w:val="num" w:pos="1418"/>
        </w:tabs>
        <w:spacing w:line="360" w:lineRule="auto"/>
        <w:rPr>
          <w:rFonts w:ascii="宋体" w:eastAsia="宋体" w:hAnsi="宋体" w:cs="Times New Roman"/>
          <w:sz w:val="24"/>
        </w:rPr>
      </w:pPr>
      <w:r w:rsidRPr="000A0524">
        <w:rPr>
          <w:rFonts w:ascii="宋体" w:eastAsia="宋体" w:hAnsi="宋体" w:cs="Times New Roman" w:hint="eastAsia"/>
          <w:sz w:val="24"/>
        </w:rPr>
        <w:t xml:space="preserve"> 信托财产范围。上述信托财产的范围是甲方存放于乙方“客户信用交易担保证券账户”和“客户信用交易担保资金账户”内相应的证券和资金，具体金额和数量以乙方“客户信用交易担保证券账户”和“客户信用交易担保资金账户”实际记录的数据为准。</w:t>
      </w:r>
    </w:p>
    <w:p w:rsidR="000A0524" w:rsidRPr="000A0524" w:rsidRDefault="000A0524" w:rsidP="000A0524">
      <w:pPr>
        <w:numPr>
          <w:ilvl w:val="1"/>
          <w:numId w:val="3"/>
        </w:numPr>
        <w:tabs>
          <w:tab w:val="num" w:pos="1418"/>
        </w:tabs>
        <w:spacing w:line="360" w:lineRule="auto"/>
        <w:rPr>
          <w:rFonts w:ascii="宋体" w:eastAsia="宋体" w:hAnsi="宋体" w:cs="Times New Roman"/>
          <w:sz w:val="24"/>
        </w:rPr>
      </w:pPr>
      <w:r w:rsidRPr="000A0524">
        <w:rPr>
          <w:rFonts w:ascii="宋体" w:eastAsia="宋体" w:hAnsi="宋体" w:cs="Times New Roman" w:hint="eastAsia"/>
          <w:sz w:val="24"/>
        </w:rPr>
        <w:t xml:space="preserve"> 信托成立和生效。自甲乙双方签订合同之日起，甲方对乙方“客户信用交易担保证券账户”和“客户信用交易担保资金账户”内相应证券和资金设定的信托成立。信托成立日为信托生效日。</w:t>
      </w:r>
    </w:p>
    <w:p w:rsidR="000A0524" w:rsidRPr="000A0524" w:rsidRDefault="000A0524" w:rsidP="000A0524">
      <w:pPr>
        <w:numPr>
          <w:ilvl w:val="1"/>
          <w:numId w:val="3"/>
        </w:numPr>
        <w:tabs>
          <w:tab w:val="num" w:pos="1418"/>
        </w:tabs>
        <w:spacing w:line="360" w:lineRule="auto"/>
        <w:rPr>
          <w:rFonts w:ascii="宋体" w:eastAsia="宋体" w:hAnsi="宋体" w:cs="Times New Roman"/>
          <w:sz w:val="24"/>
        </w:rPr>
      </w:pPr>
      <w:r w:rsidRPr="000A0524">
        <w:rPr>
          <w:rFonts w:ascii="宋体" w:eastAsia="宋体" w:hAnsi="宋体" w:cs="Times New Roman" w:hint="eastAsia"/>
          <w:sz w:val="24"/>
        </w:rPr>
        <w:t xml:space="preserve"> 信托财产的管理。上述信托财产由乙方作为受托人以自己的名义持有，与甲、乙双方的其他资产相互独立，不受甲方或乙方其他债权、债务的影响。</w:t>
      </w:r>
    </w:p>
    <w:p w:rsidR="000A0524" w:rsidRPr="000A0524" w:rsidRDefault="000A0524" w:rsidP="000A0524">
      <w:pPr>
        <w:numPr>
          <w:ilvl w:val="1"/>
          <w:numId w:val="3"/>
        </w:numPr>
        <w:tabs>
          <w:tab w:val="num" w:pos="1418"/>
        </w:tabs>
        <w:spacing w:line="360" w:lineRule="auto"/>
        <w:rPr>
          <w:rFonts w:ascii="宋体" w:eastAsia="宋体" w:hAnsi="宋体" w:cs="Times New Roman"/>
          <w:sz w:val="24"/>
        </w:rPr>
      </w:pPr>
      <w:r w:rsidRPr="000A0524">
        <w:rPr>
          <w:rFonts w:ascii="宋体" w:eastAsia="宋体" w:hAnsi="宋体" w:cs="Times New Roman" w:hint="eastAsia"/>
          <w:sz w:val="24"/>
        </w:rPr>
        <w:t xml:space="preserve"> 信托财产的处分。乙方享有信托财产的担保权益，甲方享有信托财产的收益权，甲方在清偿融资融券债务后，可请求乙方交付剩余信托财产。甲方未按期交足担保物或到期未偿还融资融券债务时，乙方有权采取强制平仓措施，对上述信托财产予以处分，处分所得优先用于偿还甲方对乙方所负债务。</w:t>
      </w:r>
    </w:p>
    <w:p w:rsidR="000A0524" w:rsidRPr="000A0524" w:rsidRDefault="000A0524" w:rsidP="000A0524">
      <w:pPr>
        <w:numPr>
          <w:ilvl w:val="1"/>
          <w:numId w:val="3"/>
        </w:numPr>
        <w:tabs>
          <w:tab w:val="num" w:pos="1418"/>
        </w:tabs>
        <w:spacing w:line="360" w:lineRule="auto"/>
        <w:rPr>
          <w:rFonts w:ascii="宋体" w:eastAsia="宋体" w:hAnsi="宋体" w:cs="Times New Roman"/>
          <w:sz w:val="24"/>
        </w:rPr>
      </w:pPr>
      <w:r w:rsidRPr="000A0524">
        <w:rPr>
          <w:rFonts w:ascii="宋体" w:eastAsia="宋体" w:hAnsi="宋体" w:cs="Times New Roman" w:hint="eastAsia"/>
          <w:sz w:val="24"/>
        </w:rPr>
        <w:lastRenderedPageBreak/>
        <w:t xml:space="preserve"> 信托的终止。自甲方了结融资融券交易，</w:t>
      </w:r>
      <w:r w:rsidRPr="000A0524">
        <w:rPr>
          <w:rFonts w:ascii="宋体" w:eastAsia="宋体" w:hAnsi="宋体" w:cs="Times New Roman"/>
          <w:sz w:val="24"/>
        </w:rPr>
        <w:t>清偿</w:t>
      </w:r>
      <w:r w:rsidRPr="000A0524">
        <w:rPr>
          <w:rFonts w:ascii="宋体" w:eastAsia="宋体" w:hAnsi="宋体" w:cs="Times New Roman" w:hint="eastAsia"/>
          <w:sz w:val="24"/>
        </w:rPr>
        <w:t>完所负融资融券</w:t>
      </w:r>
      <w:r w:rsidRPr="000A0524">
        <w:rPr>
          <w:rFonts w:ascii="宋体" w:eastAsia="宋体" w:hAnsi="宋体" w:cs="Times New Roman"/>
          <w:sz w:val="24"/>
        </w:rPr>
        <w:t>债务</w:t>
      </w:r>
      <w:r w:rsidRPr="000A0524">
        <w:rPr>
          <w:rFonts w:ascii="宋体" w:eastAsia="宋体" w:hAnsi="宋体" w:cs="Times New Roman" w:hint="eastAsia"/>
          <w:sz w:val="24"/>
        </w:rPr>
        <w:t>并终止合同</w:t>
      </w:r>
      <w:r w:rsidRPr="000A0524">
        <w:rPr>
          <w:rFonts w:ascii="宋体" w:eastAsia="宋体" w:hAnsi="宋体" w:cs="Times New Roman"/>
          <w:sz w:val="24"/>
        </w:rPr>
        <w:t>后，</w:t>
      </w:r>
      <w:r w:rsidRPr="000A0524">
        <w:rPr>
          <w:rFonts w:ascii="宋体" w:eastAsia="宋体" w:hAnsi="宋体" w:cs="Times New Roman" w:hint="eastAsia"/>
          <w:sz w:val="24"/>
        </w:rPr>
        <w:t>甲方以乙方“客户信用交易担保证券账户”和“客户信用交易担保资金账户”内相应的证券和资金作为对乙方所负债务的担保自行解除，同时甲乙双方之间信托关系自行终止。</w:t>
      </w:r>
    </w:p>
    <w:p w:rsidR="000A0524" w:rsidRPr="000A0524" w:rsidRDefault="000A0524" w:rsidP="000A0524">
      <w:pPr>
        <w:spacing w:line="360" w:lineRule="auto"/>
        <w:jc w:val="center"/>
        <w:rPr>
          <w:rFonts w:ascii="宋体" w:eastAsia="宋体" w:hAnsi="宋体" w:cs="Times New Roman"/>
          <w:b/>
          <w:sz w:val="24"/>
        </w:rPr>
      </w:pPr>
      <w:r w:rsidRPr="000A0524">
        <w:rPr>
          <w:rFonts w:ascii="宋体" w:eastAsia="宋体" w:hAnsi="宋体" w:cs="Times New Roman" w:hint="eastAsia"/>
          <w:b/>
          <w:sz w:val="24"/>
        </w:rPr>
        <w:t>第六章  担保物管理</w:t>
      </w:r>
    </w:p>
    <w:p w:rsidR="000A0524" w:rsidRPr="000A0524" w:rsidRDefault="000A0524" w:rsidP="000A0524">
      <w:pPr>
        <w:numPr>
          <w:ilvl w:val="1"/>
          <w:numId w:val="3"/>
        </w:numPr>
        <w:tabs>
          <w:tab w:val="num" w:pos="1418"/>
        </w:tabs>
        <w:spacing w:line="360" w:lineRule="auto"/>
        <w:rPr>
          <w:rFonts w:ascii="宋体" w:eastAsia="宋体" w:hAnsi="宋体" w:cs="Times New Roman"/>
          <w:sz w:val="24"/>
        </w:rPr>
      </w:pPr>
      <w:r w:rsidRPr="000A0524">
        <w:rPr>
          <w:rFonts w:ascii="宋体" w:eastAsia="宋体" w:hAnsi="宋体" w:cs="Times New Roman" w:hint="eastAsia"/>
          <w:sz w:val="24"/>
        </w:rPr>
        <w:t xml:space="preserve"> 乙方在证券交易所规定的范围内确定标的证券和可充抵保证金的证券的名单、折算率、公允价值计算方式、</w:t>
      </w:r>
      <w:r w:rsidRPr="000A0524">
        <w:rPr>
          <w:rFonts w:ascii="宋体" w:eastAsia="宋体" w:hAnsi="宋体" w:cs="Times New Roman"/>
          <w:sz w:val="24"/>
        </w:rPr>
        <w:t>融资融券保证金比例</w:t>
      </w:r>
      <w:r w:rsidRPr="000A0524">
        <w:rPr>
          <w:rFonts w:ascii="宋体" w:eastAsia="宋体" w:hAnsi="宋体" w:cs="Times New Roman" w:hint="eastAsia"/>
          <w:sz w:val="24"/>
        </w:rPr>
        <w:t>、</w:t>
      </w:r>
      <w:r w:rsidRPr="000A0524">
        <w:rPr>
          <w:rFonts w:ascii="宋体" w:eastAsia="宋体" w:hAnsi="宋体" w:cs="Times New Roman"/>
          <w:sz w:val="24"/>
        </w:rPr>
        <w:t>维持担保比例</w:t>
      </w:r>
      <w:r w:rsidRPr="000A0524">
        <w:rPr>
          <w:rFonts w:ascii="宋体" w:eastAsia="宋体" w:hAnsi="宋体" w:cs="Times New Roman" w:hint="eastAsia"/>
          <w:sz w:val="24"/>
        </w:rPr>
        <w:t>、预警线、警戒线、平仓线，并有权根据证券交易所标准调整和市场情况的变化随时做出调整。上述名单、标准的确定和调整，由乙方通过乙方营业场所、网站或交易系统予以公布。甲方应当随时关注乙方相关公告，及时了解上述名单、标准的调整情况，并进行相应处置，以避免引发保证金可用余额不足、维持担保比例低于预警线或平仓线、强制平仓等不利后果。</w:t>
      </w:r>
    </w:p>
    <w:p w:rsidR="000A0524" w:rsidRPr="000A0524" w:rsidRDefault="000A0524" w:rsidP="000A0524">
      <w:pPr>
        <w:tabs>
          <w:tab w:val="num" w:pos="1418"/>
        </w:tabs>
        <w:spacing w:line="360" w:lineRule="auto"/>
        <w:ind w:firstLineChars="200" w:firstLine="480"/>
        <w:rPr>
          <w:rFonts w:ascii="宋体" w:eastAsia="宋体" w:hAnsi="宋体" w:cs="Times New Roman"/>
          <w:sz w:val="24"/>
        </w:rPr>
      </w:pPr>
      <w:r w:rsidRPr="000A0524">
        <w:rPr>
          <w:rFonts w:ascii="宋体" w:eastAsia="宋体" w:hAnsi="宋体" w:cs="Times New Roman" w:hint="eastAsia"/>
          <w:sz w:val="24"/>
        </w:rPr>
        <w:t>当证券交易所调整可充抵保证金的证券的折算率，调整后的折算率低于乙方已公布的相关证券折算率的，在乙方做出相应调整前，该证券的折算率以证券交易所公布的为准。</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甲方从事融资融券交易前，应按照乙方的要求提交足额保证金；保证金提交后，乙方向甲方提供融资融券服务。甲方提交的用于充抵保证金的证券应符合证券交易所和乙方的规定，且必须在乙方公布的可充抵保证金证券范围内。甲方提交的充抵保证金的证券应为无减持条件的全流通证券，若为有减持条件的证券，包括但不限于持股5</w:t>
      </w:r>
      <w:r w:rsidRPr="000A0524">
        <w:rPr>
          <w:rFonts w:ascii="宋体" w:eastAsia="宋体" w:hAnsi="宋体" w:cs="Times New Roman"/>
          <w:sz w:val="24"/>
        </w:rPr>
        <w:t>%以上股东、</w:t>
      </w:r>
      <w:r w:rsidRPr="000A0524">
        <w:rPr>
          <w:rFonts w:ascii="宋体" w:eastAsia="宋体" w:hAnsi="宋体" w:cs="Times New Roman" w:hint="eastAsia"/>
          <w:sz w:val="24"/>
        </w:rPr>
        <w:t>特定股东（持有上市公司首次公开发行前股份、上市公司非公开发行股份等交易所规定的特定股东）、上市公司董事、监事及高级管理人员持有的股份，或受让前述主体转让的股份存在减持限制的，甲方应事先充分向乙方披露，并须经乙方审批同意后才可提交，否则乙方有权采取以下一种或者多种相应措施，包括要求甲方立即了结全部融资融券负债、要求甲方转出有减持条件的证券、降低甲方的融资融券额度、对甲方擅自转入其信用账户或未融券卖出的减持限制证券的公允价值与折算率调整为0。</w:t>
      </w:r>
    </w:p>
    <w:p w:rsidR="000A0524" w:rsidRPr="000A0524" w:rsidRDefault="000A0524" w:rsidP="000A0524">
      <w:pPr>
        <w:numPr>
          <w:ilvl w:val="1"/>
          <w:numId w:val="3"/>
        </w:numPr>
        <w:tabs>
          <w:tab w:val="num" w:pos="1418"/>
        </w:tabs>
        <w:spacing w:line="360" w:lineRule="auto"/>
        <w:rPr>
          <w:rFonts w:ascii="宋体" w:eastAsia="宋体" w:hAnsi="宋体" w:cs="宋体"/>
          <w:sz w:val="24"/>
        </w:rPr>
      </w:pPr>
      <w:r w:rsidRPr="000A0524">
        <w:rPr>
          <w:rFonts w:ascii="宋体" w:eastAsia="宋体" w:hAnsi="宋体" w:cs="Times New Roman" w:hint="eastAsia"/>
          <w:sz w:val="24"/>
        </w:rPr>
        <w:t xml:space="preserve"> 甲方信用账户内的所有资产，包括但不限于甲方融资或融券时提交的保证金、融资买入的全部证券和融券卖出所得的全部资金及上述资金、证券所产生的孳息等，以及甲方提交的经乙方认可的除现金及信用证券账户内证券以</w:t>
      </w:r>
      <w:r w:rsidRPr="000A0524">
        <w:rPr>
          <w:rFonts w:ascii="宋体" w:eastAsia="宋体" w:hAnsi="宋体" w:cs="Times New Roman" w:hint="eastAsia"/>
          <w:sz w:val="24"/>
        </w:rPr>
        <w:lastRenderedPageBreak/>
        <w:t>外的其他担保物，整体作为担保物，担保乙方对甲方的融资融券债权及利息、证券交易税费、罚息、违约金、损害赔偿金、实现债权的费用等</w:t>
      </w:r>
      <w:r w:rsidRPr="000A0524">
        <w:rPr>
          <w:rFonts w:ascii="宋体" w:eastAsia="宋体" w:hAnsi="宋体" w:cs="宋体" w:hint="eastAsia"/>
          <w:sz w:val="24"/>
        </w:rPr>
        <w:t>。</w:t>
      </w:r>
    </w:p>
    <w:p w:rsidR="000A0524" w:rsidRPr="000A0524" w:rsidRDefault="000A0524" w:rsidP="000A0524">
      <w:pPr>
        <w:numPr>
          <w:ilvl w:val="1"/>
          <w:numId w:val="3"/>
        </w:numPr>
        <w:spacing w:line="360" w:lineRule="auto"/>
        <w:rPr>
          <w:rFonts w:ascii="宋体" w:eastAsia="宋体" w:hAnsi="宋体" w:cs="Times New Roman"/>
        </w:rPr>
      </w:pPr>
      <w:r w:rsidRPr="000A0524">
        <w:rPr>
          <w:rFonts w:ascii="宋体" w:eastAsia="宋体" w:hAnsi="宋体" w:cs="Times New Roman" w:hint="eastAsia"/>
          <w:sz w:val="24"/>
        </w:rPr>
        <w:t xml:space="preserve"> 当甲方提交的担保物价值与其融资融券债务之间的比例超过本合同约定的维持担保比例时，甲方可以按照合同约定，转出超出规定比例部分的信用账户内保证金可用余额中的现金或充抵保证金的证券。甲方需转出其他担保物的，甲乙双方另行约定。</w:t>
      </w:r>
    </w:p>
    <w:p w:rsidR="000A0524" w:rsidRPr="000A0524" w:rsidRDefault="000A0524" w:rsidP="000A0524">
      <w:pPr>
        <w:numPr>
          <w:ilvl w:val="1"/>
          <w:numId w:val="3"/>
        </w:numPr>
        <w:tabs>
          <w:tab w:val="num" w:pos="1418"/>
        </w:tabs>
        <w:spacing w:line="360" w:lineRule="auto"/>
        <w:rPr>
          <w:rFonts w:ascii="宋体" w:eastAsia="宋体" w:hAnsi="宋体" w:cs="Times New Roman"/>
          <w:b/>
          <w:sz w:val="24"/>
        </w:rPr>
      </w:pPr>
      <w:r w:rsidRPr="000A0524">
        <w:rPr>
          <w:rFonts w:ascii="宋体" w:eastAsia="宋体" w:hAnsi="宋体" w:cs="Times New Roman" w:hint="eastAsia"/>
          <w:b/>
          <w:sz w:val="24"/>
        </w:rPr>
        <w:t>当甲方转出超过乙方规定的大额资产标准的担保物，应提前向乙方提出大额资产转出申请</w:t>
      </w:r>
      <w:r w:rsidRPr="000A0524">
        <w:rPr>
          <w:rFonts w:ascii="宋体" w:eastAsia="宋体" w:hAnsi="宋体" w:cs="宋体" w:hint="eastAsia"/>
          <w:b/>
          <w:sz w:val="24"/>
        </w:rPr>
        <w:t>。</w:t>
      </w:r>
    </w:p>
    <w:p w:rsidR="000A0524" w:rsidRPr="000A0524" w:rsidRDefault="000A0524" w:rsidP="000A0524">
      <w:pPr>
        <w:numPr>
          <w:ilvl w:val="1"/>
          <w:numId w:val="3"/>
        </w:numPr>
        <w:tabs>
          <w:tab w:val="num" w:pos="1418"/>
        </w:tabs>
        <w:spacing w:line="360" w:lineRule="auto"/>
        <w:rPr>
          <w:rFonts w:ascii="宋体" w:eastAsia="宋体" w:hAnsi="宋体" w:cs="Times New Roman"/>
          <w:sz w:val="24"/>
        </w:rPr>
      </w:pPr>
      <w:r w:rsidRPr="000A0524">
        <w:rPr>
          <w:rFonts w:ascii="宋体" w:eastAsia="宋体" w:hAnsi="宋体" w:cs="Times New Roman" w:hint="eastAsia"/>
          <w:sz w:val="24"/>
        </w:rPr>
        <w:t>甲方信用证券账户中用于担保的证券预定终止上市交易的，自该证券终止上市公告发布日的下一交易日起，在计算甲方信用账户维持担保比例时，乙方有权将该证券市值不计入维持担保比例公式中的信用证券账户内证券市值。</w:t>
      </w:r>
    </w:p>
    <w:p w:rsidR="000A0524" w:rsidRPr="000A0524" w:rsidRDefault="000A0524" w:rsidP="000A0524">
      <w:pPr>
        <w:numPr>
          <w:ilvl w:val="1"/>
          <w:numId w:val="3"/>
        </w:numPr>
        <w:tabs>
          <w:tab w:val="num" w:pos="1418"/>
        </w:tabs>
        <w:spacing w:line="360" w:lineRule="auto"/>
        <w:rPr>
          <w:rFonts w:ascii="宋体" w:eastAsia="宋体" w:hAnsi="宋体" w:cs="Times New Roman"/>
          <w:sz w:val="24"/>
        </w:rPr>
      </w:pPr>
      <w:r w:rsidRPr="000A0524">
        <w:rPr>
          <w:rFonts w:ascii="宋体" w:eastAsia="宋体" w:hAnsi="宋体" w:cs="Times New Roman" w:hint="eastAsia"/>
          <w:sz w:val="24"/>
        </w:rPr>
        <w:t>甲方向其信用证券账户提交可充抵保证金的证券及从信用账户提取可充抵保证金的证券，应按证券交易所、证券登记结算机构的有关规定向乙方缴纳相关费用。</w:t>
      </w:r>
    </w:p>
    <w:p w:rsidR="000A0524" w:rsidRPr="000A0524" w:rsidRDefault="000A0524" w:rsidP="000A0524">
      <w:pPr>
        <w:spacing w:line="360" w:lineRule="auto"/>
        <w:ind w:left="567"/>
        <w:rPr>
          <w:rFonts w:ascii="宋体" w:eastAsia="宋体" w:hAnsi="宋体" w:cs="Times New Roman"/>
          <w:sz w:val="24"/>
        </w:rPr>
      </w:pPr>
    </w:p>
    <w:p w:rsidR="000A0524" w:rsidRPr="000A0524" w:rsidRDefault="000A0524" w:rsidP="000A0524">
      <w:pPr>
        <w:spacing w:line="360" w:lineRule="auto"/>
        <w:jc w:val="center"/>
        <w:rPr>
          <w:rFonts w:ascii="宋体" w:eastAsia="宋体" w:hAnsi="宋体" w:cs="Times New Roman"/>
          <w:b/>
          <w:sz w:val="24"/>
        </w:rPr>
      </w:pPr>
      <w:r w:rsidRPr="000A0524">
        <w:rPr>
          <w:rFonts w:ascii="宋体" w:eastAsia="宋体" w:hAnsi="宋体" w:cs="Times New Roman" w:hint="eastAsia"/>
          <w:b/>
          <w:sz w:val="24"/>
        </w:rPr>
        <w:t>第七章 授信额度</w:t>
      </w:r>
    </w:p>
    <w:p w:rsidR="000A0524" w:rsidRPr="000A0524" w:rsidRDefault="000A0524" w:rsidP="000A0524">
      <w:pPr>
        <w:numPr>
          <w:ilvl w:val="1"/>
          <w:numId w:val="3"/>
        </w:numPr>
        <w:tabs>
          <w:tab w:val="num" w:pos="1418"/>
        </w:tabs>
        <w:spacing w:line="360" w:lineRule="auto"/>
        <w:rPr>
          <w:rFonts w:ascii="宋体" w:eastAsia="宋体" w:hAnsi="宋体" w:cs="Times New Roman"/>
          <w:sz w:val="24"/>
        </w:rPr>
      </w:pPr>
      <w:r w:rsidRPr="000A0524">
        <w:rPr>
          <w:rFonts w:ascii="宋体" w:eastAsia="宋体" w:hAnsi="宋体" w:cs="Times New Roman" w:hint="eastAsia"/>
          <w:sz w:val="24"/>
        </w:rPr>
        <w:t>乙方根据甲方的资信状况、担保物价值、履约情况、市场变化、乙方财务安排，以及乙方规定的对单一客户授信上限标准等因素，综合确定或调整对甲方的授信额度，并在上述授信额度内向甲方提供融资融券交易所需资金和证券。乙方有权对甲方的授信额度进行不时地重新审核，并有权根据甲方资信情况、担保物价值、维持担保比例、乙方的资券安排、市场情况等因素的变化情况随时调整甲方的授信额度，调整无需甲方的申请和同意。授信额度以乙方交易系统的记录为准，调减或取消授信额度前已经发生的融资融券交易仍然有效。同时乙方有权在确定授信额度时提出对甲方的交易限制要求,</w:t>
      </w:r>
      <w:r w:rsidRPr="000A0524">
        <w:rPr>
          <w:rFonts w:ascii="Calibri" w:eastAsia="宋体" w:hAnsi="Calibri" w:cs="Times New Roman" w:hint="eastAsia"/>
        </w:rPr>
        <w:t xml:space="preserve"> </w:t>
      </w:r>
      <w:r w:rsidRPr="000A0524">
        <w:rPr>
          <w:rFonts w:ascii="宋体" w:eastAsia="宋体" w:hAnsi="宋体" w:cs="Times New Roman" w:hint="eastAsia"/>
          <w:sz w:val="24"/>
        </w:rPr>
        <w:t>包括但不限于交易品种限制、持仓集中度限制等。</w:t>
      </w:r>
    </w:p>
    <w:p w:rsidR="000A0524" w:rsidRPr="000A0524" w:rsidRDefault="000A0524" w:rsidP="000A0524">
      <w:pPr>
        <w:numPr>
          <w:ilvl w:val="1"/>
          <w:numId w:val="3"/>
        </w:numPr>
        <w:tabs>
          <w:tab w:val="num" w:pos="1418"/>
        </w:tabs>
        <w:spacing w:line="360" w:lineRule="auto"/>
        <w:rPr>
          <w:rFonts w:ascii="宋体" w:eastAsia="宋体" w:hAnsi="宋体" w:cs="Times New Roman"/>
          <w:sz w:val="24"/>
        </w:rPr>
      </w:pPr>
      <w:r w:rsidRPr="000A0524">
        <w:rPr>
          <w:rFonts w:ascii="宋体" w:eastAsia="宋体" w:hAnsi="宋体" w:cs="Times New Roman" w:hint="eastAsia"/>
          <w:sz w:val="24"/>
        </w:rPr>
        <w:t>甲方的授信额度不得超出乙方交易系统记录经审批确定的授信额度，在合同期内甲方可循环使用授信额度。</w:t>
      </w:r>
    </w:p>
    <w:p w:rsidR="000A0524" w:rsidRPr="000A0524" w:rsidRDefault="000A0524" w:rsidP="000A0524">
      <w:pPr>
        <w:numPr>
          <w:ilvl w:val="1"/>
          <w:numId w:val="3"/>
        </w:numPr>
        <w:tabs>
          <w:tab w:val="num" w:pos="1418"/>
        </w:tabs>
        <w:spacing w:line="360" w:lineRule="auto"/>
        <w:rPr>
          <w:rFonts w:ascii="宋体" w:eastAsia="宋体" w:hAnsi="宋体" w:cs="Times New Roman"/>
          <w:b/>
          <w:sz w:val="24"/>
        </w:rPr>
      </w:pPr>
      <w:r w:rsidRPr="000A0524">
        <w:rPr>
          <w:rFonts w:ascii="宋体" w:eastAsia="宋体" w:hAnsi="宋体" w:cs="Times New Roman" w:hint="eastAsia"/>
          <w:b/>
          <w:sz w:val="24"/>
        </w:rPr>
        <w:t>甲方充分了解：甲方申请的授信额度存在不被乙方同意；或被乙方部分同意；或虽被同意但其后由乙方自行作出调整的风险。甲方自愿承担上述风</w:t>
      </w:r>
      <w:r w:rsidRPr="000A0524">
        <w:rPr>
          <w:rFonts w:ascii="宋体" w:eastAsia="宋体" w:hAnsi="宋体" w:cs="Times New Roman" w:hint="eastAsia"/>
          <w:b/>
          <w:sz w:val="24"/>
        </w:rPr>
        <w:lastRenderedPageBreak/>
        <w:t>险且乙方对由此造成的任何损失无须承担责任。</w:t>
      </w:r>
    </w:p>
    <w:p w:rsidR="000A0524" w:rsidRPr="000A0524" w:rsidRDefault="000A0524" w:rsidP="000A0524">
      <w:pPr>
        <w:numPr>
          <w:ilvl w:val="1"/>
          <w:numId w:val="3"/>
        </w:numPr>
        <w:tabs>
          <w:tab w:val="num" w:pos="1418"/>
        </w:tabs>
        <w:spacing w:line="360" w:lineRule="auto"/>
        <w:rPr>
          <w:rFonts w:ascii="宋体" w:eastAsia="宋体" w:hAnsi="宋体" w:cs="Times New Roman"/>
          <w:sz w:val="24"/>
        </w:rPr>
      </w:pPr>
      <w:r w:rsidRPr="000A0524">
        <w:rPr>
          <w:rFonts w:ascii="宋体" w:eastAsia="宋体" w:hAnsi="宋体" w:cs="Times New Roman" w:hint="eastAsia"/>
          <w:sz w:val="24"/>
        </w:rPr>
        <w:t>本合同生效后，甲方连续90天未进行融资融券交易的，乙方有权暂停甲方的授信额度；甲方可向乙方书面申请恢复授信额度，乙方有权决定是否恢复。甲方的授信额度经乙方审批确定后，乙方提供资金、证券供甲方融资融券交易使用。由于乙方受自有资金和自有证券规模、乙方业务总规模的限制，乙方不保证甲方融资交易时能融到资金，融券交易时能融到证券。</w:t>
      </w:r>
    </w:p>
    <w:p w:rsidR="000A0524" w:rsidRPr="000A0524" w:rsidRDefault="000A0524" w:rsidP="000A0524">
      <w:pPr>
        <w:spacing w:line="360" w:lineRule="auto"/>
        <w:rPr>
          <w:rFonts w:ascii="宋体" w:eastAsia="宋体" w:hAnsi="宋体" w:cs="Times New Roman"/>
          <w:sz w:val="24"/>
        </w:rPr>
      </w:pPr>
    </w:p>
    <w:p w:rsidR="000A0524" w:rsidRPr="000A0524" w:rsidRDefault="000A0524" w:rsidP="000A0524">
      <w:pPr>
        <w:spacing w:line="360" w:lineRule="auto"/>
        <w:jc w:val="center"/>
        <w:rPr>
          <w:rFonts w:ascii="宋体" w:eastAsia="宋体" w:hAnsi="宋体" w:cs="Times New Roman"/>
          <w:b/>
          <w:sz w:val="24"/>
        </w:rPr>
      </w:pPr>
      <w:r w:rsidRPr="000A0524">
        <w:rPr>
          <w:rFonts w:ascii="宋体" w:eastAsia="宋体" w:hAnsi="宋体" w:cs="Times New Roman" w:hint="eastAsia"/>
          <w:b/>
          <w:sz w:val="24"/>
        </w:rPr>
        <w:t>第八章  融资、融券期限和利（费）率</w:t>
      </w:r>
    </w:p>
    <w:p w:rsidR="000A0524" w:rsidRPr="000A0524" w:rsidRDefault="000A0524" w:rsidP="000A0524">
      <w:pPr>
        <w:numPr>
          <w:ilvl w:val="1"/>
          <w:numId w:val="3"/>
        </w:numPr>
        <w:tabs>
          <w:tab w:val="num" w:pos="1418"/>
        </w:tabs>
        <w:spacing w:line="360" w:lineRule="auto"/>
        <w:jc w:val="left"/>
        <w:rPr>
          <w:rFonts w:ascii="宋体" w:eastAsia="宋体" w:hAnsi="宋体" w:cs="Times New Roman"/>
          <w:sz w:val="24"/>
        </w:rPr>
      </w:pPr>
      <w:r w:rsidRPr="000A0524">
        <w:rPr>
          <w:rFonts w:ascii="宋体" w:eastAsia="宋体" w:hAnsi="宋体" w:cs="Times New Roman" w:hint="eastAsia"/>
          <w:sz w:val="24"/>
        </w:rPr>
        <w:t xml:space="preserve">  甲方单笔融资、融券债务的期限为180天，自甲方实际使用资金或使用证券之日起计算。单笔融资、融券债务到期日晚于合同期届满日且合同未续约的，单笔融资、融券债务在合同期届满日到期。若融资融券到期日为非交易日的，甲方可提前了结融资融券交易，否则到期日自动顺延至到期日后的第1个交易日。</w:t>
      </w:r>
    </w:p>
    <w:p w:rsidR="000A0524" w:rsidRPr="000A0524" w:rsidRDefault="000A0524" w:rsidP="000A0524">
      <w:pPr>
        <w:spacing w:line="360" w:lineRule="auto"/>
        <w:ind w:firstLineChars="200" w:firstLine="480"/>
        <w:rPr>
          <w:rFonts w:ascii="宋体" w:eastAsia="宋体" w:hAnsi="宋体" w:cs="Times New Roman"/>
          <w:sz w:val="24"/>
        </w:rPr>
      </w:pPr>
      <w:r w:rsidRPr="000A0524">
        <w:rPr>
          <w:rFonts w:ascii="宋体" w:eastAsia="宋体" w:hAnsi="宋体" w:cs="Times New Roman" w:hint="eastAsia"/>
          <w:sz w:val="24"/>
        </w:rPr>
        <w:t>单笔融资、融券债务到期前30个交易日，甲方可向乙方申请展期，每次展期期限不超过监管规定的最长期限6个月。乙方有权根据甲方信用状况、负债情况、维持担保比例水平、后续信用评级等情况对甲方进行评估，甲方在提交展期申请前，需满足包括但不限于以下条件：</w:t>
      </w:r>
    </w:p>
    <w:p w:rsidR="000A0524" w:rsidRPr="000A0524" w:rsidRDefault="000A0524" w:rsidP="000A0524">
      <w:pPr>
        <w:numPr>
          <w:ilvl w:val="0"/>
          <w:numId w:val="20"/>
        </w:numPr>
        <w:spacing w:line="360" w:lineRule="auto"/>
        <w:rPr>
          <w:rFonts w:ascii="宋体" w:eastAsia="宋体" w:hAnsi="宋体" w:cs="Times New Roman"/>
          <w:sz w:val="24"/>
        </w:rPr>
      </w:pPr>
      <w:r w:rsidRPr="000A0524">
        <w:rPr>
          <w:rFonts w:ascii="宋体" w:eastAsia="宋体" w:hAnsi="宋体" w:cs="Times New Roman" w:hint="eastAsia"/>
          <w:sz w:val="24"/>
        </w:rPr>
        <w:t>后续信用评级C级（含）以上；</w:t>
      </w:r>
    </w:p>
    <w:p w:rsidR="000A0524" w:rsidRPr="000A0524" w:rsidRDefault="000A0524" w:rsidP="000A0524">
      <w:pPr>
        <w:numPr>
          <w:ilvl w:val="0"/>
          <w:numId w:val="20"/>
        </w:numPr>
        <w:spacing w:line="360" w:lineRule="auto"/>
        <w:rPr>
          <w:rFonts w:ascii="宋体" w:eastAsia="宋体" w:hAnsi="宋体" w:cs="Times New Roman"/>
          <w:sz w:val="24"/>
        </w:rPr>
      </w:pPr>
      <w:r w:rsidRPr="000A0524">
        <w:rPr>
          <w:rFonts w:ascii="宋体" w:eastAsia="宋体" w:hAnsi="宋体" w:cs="Times New Roman" w:hint="eastAsia"/>
          <w:sz w:val="24"/>
        </w:rPr>
        <w:t>维持担保比例在140%（含）以上；</w:t>
      </w:r>
    </w:p>
    <w:p w:rsidR="000A0524" w:rsidRPr="000A0524" w:rsidRDefault="000A0524" w:rsidP="000A0524">
      <w:pPr>
        <w:numPr>
          <w:ilvl w:val="0"/>
          <w:numId w:val="20"/>
        </w:numPr>
        <w:spacing w:line="360" w:lineRule="auto"/>
        <w:rPr>
          <w:rFonts w:ascii="宋体" w:eastAsia="宋体" w:hAnsi="宋体" w:cs="Times New Roman"/>
          <w:sz w:val="24"/>
        </w:rPr>
      </w:pPr>
      <w:r w:rsidRPr="000A0524">
        <w:rPr>
          <w:rFonts w:ascii="宋体" w:eastAsia="宋体" w:hAnsi="宋体" w:cs="Times New Roman" w:hint="eastAsia"/>
          <w:sz w:val="24"/>
        </w:rPr>
        <w:t>信用账户未发生强制平仓；</w:t>
      </w:r>
    </w:p>
    <w:p w:rsidR="000A0524" w:rsidRPr="000A0524" w:rsidRDefault="000A0524" w:rsidP="000A0524">
      <w:pPr>
        <w:spacing w:line="360" w:lineRule="auto"/>
        <w:ind w:firstLineChars="200" w:firstLine="480"/>
        <w:rPr>
          <w:rFonts w:ascii="宋体" w:eastAsia="宋体" w:hAnsi="宋体" w:cs="Times New Roman"/>
          <w:sz w:val="24"/>
        </w:rPr>
      </w:pPr>
      <w:r w:rsidRPr="000A0524">
        <w:rPr>
          <w:rFonts w:ascii="宋体" w:eastAsia="宋体" w:hAnsi="宋体" w:cs="Times New Roman" w:hint="eastAsia"/>
          <w:sz w:val="24"/>
        </w:rPr>
        <w:t>（4） 甲方在申请展期时已先偿还该笔合约展期前的融资利息及融券费用。</w:t>
      </w:r>
    </w:p>
    <w:p w:rsidR="000A0524" w:rsidRPr="000A0524" w:rsidRDefault="000A0524" w:rsidP="000A0524">
      <w:pPr>
        <w:spacing w:line="360" w:lineRule="auto"/>
        <w:ind w:firstLineChars="200" w:firstLine="482"/>
        <w:rPr>
          <w:rFonts w:ascii="宋体" w:eastAsia="宋体" w:hAnsi="宋体" w:cs="Times New Roman"/>
          <w:b/>
          <w:sz w:val="24"/>
        </w:rPr>
      </w:pPr>
      <w:r w:rsidRPr="000A0524">
        <w:rPr>
          <w:rFonts w:ascii="宋体" w:eastAsia="宋体" w:hAnsi="宋体" w:cs="Times New Roman" w:hint="eastAsia"/>
          <w:b/>
          <w:sz w:val="24"/>
        </w:rPr>
        <w:t>甲方已知晓，上述条件只是乙方决定是否给予甲方展期的必要条件，但不代表甲方满足上述条件下，一定会获得展期。乙方有权单方对上述条件进行修改，且有权自主决定是否同意甲方的展期申请。</w:t>
      </w:r>
    </w:p>
    <w:p w:rsidR="000A0524" w:rsidRPr="000A0524" w:rsidRDefault="000A0524" w:rsidP="000A0524">
      <w:pPr>
        <w:numPr>
          <w:ilvl w:val="1"/>
          <w:numId w:val="3"/>
        </w:numPr>
        <w:tabs>
          <w:tab w:val="num" w:pos="1418"/>
        </w:tabs>
        <w:spacing w:line="360" w:lineRule="auto"/>
        <w:rPr>
          <w:rFonts w:ascii="宋体" w:eastAsia="宋体" w:hAnsi="宋体" w:cs="Times New Roman"/>
          <w:sz w:val="24"/>
        </w:rPr>
      </w:pPr>
      <w:r w:rsidRPr="000A0524">
        <w:rPr>
          <w:rFonts w:ascii="宋体" w:eastAsia="宋体" w:hAnsi="宋体" w:cs="Times New Roman" w:hint="eastAsia"/>
          <w:sz w:val="24"/>
        </w:rPr>
        <w:t>乙方根据资金营运成本、市场风险状况、市场需求状况，确定融资利率、融券费率以及展期后的融资利率、融券费率。具体融资利率、融券费率以乙方网站、交易系统或营业场所内公告的融资利率、融券费率为准(甲乙双方另有约定的除外)。</w:t>
      </w:r>
    </w:p>
    <w:p w:rsidR="000A0524" w:rsidRPr="000A0524" w:rsidRDefault="000A0524" w:rsidP="000A0524">
      <w:pPr>
        <w:numPr>
          <w:ilvl w:val="1"/>
          <w:numId w:val="3"/>
        </w:numPr>
        <w:tabs>
          <w:tab w:val="num" w:pos="1418"/>
        </w:tabs>
        <w:spacing w:line="360" w:lineRule="auto"/>
        <w:rPr>
          <w:rFonts w:ascii="宋体" w:eastAsia="宋体" w:hAnsi="宋体" w:cs="Times New Roman"/>
          <w:sz w:val="24"/>
        </w:rPr>
      </w:pPr>
      <w:r w:rsidRPr="000A0524">
        <w:rPr>
          <w:rFonts w:ascii="宋体" w:eastAsia="宋体" w:hAnsi="宋体" w:cs="Times New Roman" w:hint="eastAsia"/>
          <w:sz w:val="24"/>
        </w:rPr>
        <w:t>融资利息、融券费用按照甲方实际使用资金和证券的自然日天数计</w:t>
      </w:r>
      <w:r w:rsidRPr="000A0524">
        <w:rPr>
          <w:rFonts w:ascii="宋体" w:eastAsia="宋体" w:hAnsi="宋体" w:cs="Times New Roman" w:hint="eastAsia"/>
          <w:sz w:val="24"/>
        </w:rPr>
        <w:lastRenderedPageBreak/>
        <w:t xml:space="preserve">收，每日计算。计息期间遇乙方公布的标准利率调整的，对于尚未了结的融资、融券债务在调整日前的每日利息、费用按照原融资利率、融券费率计算，调整日（含）后的利息、费用按新融资利率、融券费率计算(甲乙双方另有约定的除外)。自调整日起，新产生的融资、融券债务按调整后的融资利率、融券费率计算(甲乙双方另有约定的除外)。如遇甲方信用资金账户余额不足时，甲方同意乙方在甲方保证金可用余额中的现金部分大于零时随时收取未缴利息及费用。 </w:t>
      </w:r>
    </w:p>
    <w:p w:rsidR="000A0524" w:rsidRPr="000A0524" w:rsidRDefault="000A0524" w:rsidP="000A0524">
      <w:pPr>
        <w:numPr>
          <w:ilvl w:val="1"/>
          <w:numId w:val="3"/>
        </w:numPr>
        <w:tabs>
          <w:tab w:val="num" w:pos="1418"/>
        </w:tabs>
        <w:spacing w:line="360" w:lineRule="auto"/>
        <w:rPr>
          <w:rFonts w:ascii="宋体" w:eastAsia="宋体" w:hAnsi="宋体" w:cs="Times New Roman"/>
          <w:sz w:val="24"/>
        </w:rPr>
      </w:pPr>
      <w:r w:rsidRPr="000A0524">
        <w:rPr>
          <w:rFonts w:ascii="宋体" w:eastAsia="宋体" w:hAnsi="宋体" w:cs="Times New Roman" w:hint="eastAsia"/>
          <w:sz w:val="24"/>
        </w:rPr>
        <w:t>甲方应付融资利息根据甲方融资产生的负债金额按</w:t>
      </w:r>
      <w:r w:rsidRPr="000A0524">
        <w:rPr>
          <w:rFonts w:ascii="宋体" w:eastAsia="宋体" w:hAnsi="宋体" w:cs="宋体" w:hint="eastAsia"/>
          <w:b/>
          <w:kern w:val="0"/>
          <w:sz w:val="24"/>
        </w:rPr>
        <w:t>自然</w:t>
      </w:r>
      <w:r w:rsidRPr="000A0524">
        <w:rPr>
          <w:rFonts w:ascii="宋体" w:eastAsia="宋体" w:hAnsi="宋体" w:cs="Times New Roman" w:hint="eastAsia"/>
          <w:b/>
          <w:sz w:val="24"/>
        </w:rPr>
        <w:t>日</w:t>
      </w:r>
      <w:r w:rsidRPr="000A0524">
        <w:rPr>
          <w:rFonts w:ascii="宋体" w:eastAsia="宋体" w:hAnsi="宋体" w:cs="Times New Roman" w:hint="eastAsia"/>
          <w:sz w:val="24"/>
        </w:rPr>
        <w:t>计算，在甲方了结融资交易时收取。计算公式：</w:t>
      </w:r>
    </w:p>
    <w:p w:rsidR="000A0524" w:rsidRPr="000A0524" w:rsidRDefault="000A0524" w:rsidP="000A0524">
      <w:pPr>
        <w:spacing w:line="360" w:lineRule="auto"/>
        <w:jc w:val="left"/>
        <w:rPr>
          <w:rFonts w:ascii="宋体" w:eastAsia="宋体" w:hAnsi="宋体" w:cs="Times New Roman"/>
          <w:b/>
          <w:sz w:val="24"/>
        </w:rPr>
      </w:pPr>
      <w:r w:rsidRPr="000A0524">
        <w:rPr>
          <w:rFonts w:ascii="宋体" w:eastAsia="宋体" w:hAnsi="宋体" w:cs="Times New Roman" w:hint="eastAsia"/>
          <w:b/>
          <w:sz w:val="24"/>
        </w:rPr>
        <w:t>融资利息=（融资金额+融资交易费用）×</w:t>
      </w:r>
      <w:r w:rsidRPr="000A0524">
        <w:rPr>
          <w:rFonts w:ascii="宋体" w:eastAsia="宋体" w:hAnsi="宋体" w:cs="宋体" w:hint="eastAsia"/>
          <w:b/>
          <w:kern w:val="0"/>
          <w:sz w:val="24"/>
        </w:rPr>
        <w:t>融资利率/360</w:t>
      </w:r>
      <w:r w:rsidRPr="000A0524">
        <w:rPr>
          <w:rFonts w:ascii="宋体" w:eastAsia="宋体" w:hAnsi="宋体" w:cs="Times New Roman" w:hint="eastAsia"/>
          <w:b/>
          <w:sz w:val="24"/>
        </w:rPr>
        <w:t>×实际使用天数-已偿还融资利息</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融券应支付融券费用，甲方应付融券费用根据乙方融券卖出价款按自然日计算，在甲方了结融券交易时收取。计算公式：</w:t>
      </w:r>
    </w:p>
    <w:p w:rsidR="000A0524" w:rsidRPr="000A0524" w:rsidRDefault="000A0524" w:rsidP="000A0524">
      <w:pPr>
        <w:spacing w:line="360" w:lineRule="auto"/>
        <w:jc w:val="left"/>
        <w:rPr>
          <w:rFonts w:ascii="宋体" w:eastAsia="宋体" w:hAnsi="宋体" w:cs="Times New Roman"/>
          <w:b/>
          <w:sz w:val="24"/>
        </w:rPr>
      </w:pPr>
      <w:r w:rsidRPr="000A0524">
        <w:rPr>
          <w:rFonts w:ascii="宋体" w:eastAsia="宋体" w:hAnsi="宋体" w:cs="Times New Roman" w:hint="eastAsia"/>
          <w:b/>
          <w:sz w:val="24"/>
        </w:rPr>
        <w:t>融券费用=融券金额×融券费率/360×实际使用天数-已偿还融券费用</w:t>
      </w:r>
    </w:p>
    <w:p w:rsidR="000A0524" w:rsidRPr="000A0524" w:rsidRDefault="000A0524" w:rsidP="000A0524">
      <w:pPr>
        <w:spacing w:line="360" w:lineRule="auto"/>
        <w:rPr>
          <w:rFonts w:ascii="宋体" w:eastAsia="宋体" w:hAnsi="宋体" w:cs="Times New Roman"/>
          <w:sz w:val="24"/>
        </w:rPr>
      </w:pPr>
      <w:r w:rsidRPr="000A0524">
        <w:rPr>
          <w:rFonts w:ascii="宋体" w:eastAsia="宋体" w:hAnsi="宋体" w:cs="Times New Roman" w:hint="eastAsia"/>
          <w:sz w:val="24"/>
        </w:rPr>
        <w:t xml:space="preserve">    其中：融券金额=融券数量×融券卖出时成交价</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甲方违反合同约定，逾期偿还融资款、融券标的、以及产生相关利息、费用等债务的，除应向乙方支付未偿还融资利息或融券费用外，还自逾期之日起应支付相应的罚息，罚息按日计算，自合约了结时收取。计算公式：</w:t>
      </w:r>
    </w:p>
    <w:p w:rsidR="000A0524" w:rsidRPr="000A0524" w:rsidRDefault="000A0524" w:rsidP="000A0524">
      <w:pPr>
        <w:spacing w:line="360" w:lineRule="auto"/>
        <w:jc w:val="left"/>
        <w:rPr>
          <w:rFonts w:ascii="宋体" w:eastAsia="宋体" w:hAnsi="宋体" w:cs="Times New Roman"/>
          <w:b/>
          <w:sz w:val="24"/>
        </w:rPr>
      </w:pPr>
      <w:r w:rsidRPr="000A0524">
        <w:rPr>
          <w:rFonts w:ascii="宋体" w:eastAsia="宋体" w:hAnsi="宋体" w:cs="Times New Roman" w:hint="eastAsia"/>
          <w:b/>
          <w:sz w:val="24"/>
        </w:rPr>
        <w:t>融资罚息=（未偿还融资金额+未偿还利息+未偿还费用）×融资罚息率/360×逾期天数</w:t>
      </w:r>
    </w:p>
    <w:p w:rsidR="000A0524" w:rsidRPr="000A0524" w:rsidRDefault="000A0524" w:rsidP="000A0524">
      <w:pPr>
        <w:spacing w:line="360" w:lineRule="auto"/>
        <w:jc w:val="left"/>
        <w:rPr>
          <w:rFonts w:ascii="宋体" w:eastAsia="宋体" w:hAnsi="宋体" w:cs="Times New Roman"/>
          <w:b/>
          <w:sz w:val="24"/>
        </w:rPr>
      </w:pPr>
      <w:r w:rsidRPr="000A0524">
        <w:rPr>
          <w:rFonts w:ascii="宋体" w:eastAsia="宋体" w:hAnsi="宋体" w:cs="Times New Roman" w:hint="eastAsia"/>
          <w:b/>
          <w:sz w:val="24"/>
        </w:rPr>
        <w:t>融券罚息=（未偿还融券金额+未偿还融券费用）×融券罚息率/360×逾期天数</w:t>
      </w:r>
    </w:p>
    <w:p w:rsidR="000A0524" w:rsidRPr="000A0524" w:rsidRDefault="000A0524" w:rsidP="000A0524">
      <w:pPr>
        <w:spacing w:line="360" w:lineRule="auto"/>
        <w:rPr>
          <w:rFonts w:ascii="宋体" w:eastAsia="宋体" w:hAnsi="宋体" w:cs="Times New Roman"/>
          <w:sz w:val="24"/>
        </w:rPr>
      </w:pPr>
      <w:r w:rsidRPr="000A0524">
        <w:rPr>
          <w:rFonts w:ascii="宋体" w:eastAsia="宋体" w:hAnsi="宋体" w:cs="Times New Roman" w:hint="eastAsia"/>
          <w:sz w:val="24"/>
        </w:rPr>
        <w:t>其中：融资罚息率、融券罚息率以乙方网站、交易系统或营业场所内公告公布的为准；未偿还融券金额=未偿还融券数量×融券卖出时成交价</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乙方依据融资利息计算公式及融券费用计算公式，每日对甲方融资余额计算融资利息，对融券余额计算融券费用。</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甲方信用资金账户中的现金保证金利息按当期活期存款利率计付，相应的利息税由甲方承担并由乙方代扣代缴。</w:t>
      </w:r>
    </w:p>
    <w:p w:rsidR="000A0524" w:rsidRPr="000A0524" w:rsidRDefault="000A0524" w:rsidP="000A0524">
      <w:pPr>
        <w:numPr>
          <w:ilvl w:val="1"/>
          <w:numId w:val="3"/>
        </w:numPr>
        <w:spacing w:line="360" w:lineRule="auto"/>
        <w:rPr>
          <w:rFonts w:ascii="宋体" w:eastAsia="宋体" w:hAnsi="宋体" w:cs="Times New Roman"/>
          <w:b/>
          <w:sz w:val="24"/>
        </w:rPr>
      </w:pPr>
      <w:r w:rsidRPr="000A0524">
        <w:rPr>
          <w:rFonts w:ascii="宋体" w:eastAsia="宋体" w:hAnsi="宋体" w:cs="Times New Roman" w:hint="eastAsia"/>
          <w:sz w:val="24"/>
        </w:rPr>
        <w:t xml:space="preserve"> </w:t>
      </w:r>
      <w:r w:rsidRPr="000A0524">
        <w:rPr>
          <w:rFonts w:ascii="宋体" w:eastAsia="宋体" w:hAnsi="宋体" w:cs="Times New Roman" w:hint="eastAsia"/>
          <w:b/>
          <w:sz w:val="24"/>
        </w:rPr>
        <w:t>乙方有权根据自身情况以及甲方资信情况、市场波动状况等，在相关法律、行政法规许可的情况下，调整融资利率、融券费率、逾期罚息率、其他相关费率及相应的利息和费用计算公式，并及时在乙方网站、交易系统或营业场</w:t>
      </w:r>
      <w:r w:rsidRPr="000A0524">
        <w:rPr>
          <w:rFonts w:ascii="宋体" w:eastAsia="宋体" w:hAnsi="宋体" w:cs="Times New Roman" w:hint="eastAsia"/>
          <w:b/>
          <w:sz w:val="24"/>
        </w:rPr>
        <w:lastRenderedPageBreak/>
        <w:t>所内公告，相关事项经公告通知后即对甲、乙双方产生效力。</w:t>
      </w:r>
    </w:p>
    <w:p w:rsidR="000A0524" w:rsidRPr="000A0524" w:rsidRDefault="000A0524" w:rsidP="000A0524">
      <w:pPr>
        <w:numPr>
          <w:ilvl w:val="1"/>
          <w:numId w:val="3"/>
        </w:numPr>
        <w:spacing w:line="360" w:lineRule="auto"/>
        <w:rPr>
          <w:rFonts w:ascii="宋体" w:eastAsia="宋体" w:hAnsi="宋体" w:cs="Times New Roman"/>
          <w:b/>
          <w:sz w:val="24"/>
        </w:rPr>
      </w:pPr>
      <w:r w:rsidRPr="000A0524">
        <w:rPr>
          <w:rFonts w:ascii="宋体" w:eastAsia="宋体" w:hAnsi="宋体" w:cs="Times New Roman" w:hint="eastAsia"/>
          <w:sz w:val="24"/>
        </w:rPr>
        <w:t xml:space="preserve"> </w:t>
      </w:r>
      <w:r w:rsidRPr="000A0524">
        <w:rPr>
          <w:rFonts w:ascii="宋体" w:eastAsia="宋体" w:hAnsi="宋体" w:cs="Times New Roman" w:hint="eastAsia"/>
          <w:b/>
          <w:sz w:val="24"/>
        </w:rPr>
        <w:t>甲方信用账户佣金分为普通交易佣金和信用交易佣金，默认佣金费率均为3‰，若需调整，甲方须向乙方提出申请，并经甲乙双方一致同意后调整。</w:t>
      </w:r>
    </w:p>
    <w:p w:rsidR="000A0524" w:rsidRPr="000A0524" w:rsidRDefault="000A0524" w:rsidP="000A0524">
      <w:pPr>
        <w:spacing w:line="360" w:lineRule="auto"/>
        <w:rPr>
          <w:rFonts w:ascii="宋体" w:eastAsia="宋体" w:hAnsi="宋体" w:cs="Times New Roman"/>
          <w:sz w:val="24"/>
        </w:rPr>
      </w:pPr>
    </w:p>
    <w:p w:rsidR="000A0524" w:rsidRPr="000A0524" w:rsidRDefault="000A0524" w:rsidP="000A0524">
      <w:pPr>
        <w:spacing w:line="360" w:lineRule="auto"/>
        <w:jc w:val="center"/>
        <w:rPr>
          <w:rFonts w:ascii="宋体" w:eastAsia="宋体" w:hAnsi="宋体" w:cs="Times New Roman"/>
          <w:b/>
          <w:sz w:val="24"/>
        </w:rPr>
      </w:pPr>
      <w:r w:rsidRPr="000A0524">
        <w:rPr>
          <w:rFonts w:ascii="宋体" w:eastAsia="宋体" w:hAnsi="宋体" w:cs="Times New Roman" w:hint="eastAsia"/>
          <w:b/>
          <w:sz w:val="24"/>
        </w:rPr>
        <w:t>第九章 融资融券交易</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甲方的融资融券交易只能通过其信用账户进行。甲方的信用证券账户不得买入或转入除可充抵保证金证券范围以外的证券，也不得用于参与定向增发、交易所规定的相关开放式基金申购及赎回、债券回购交易等。</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甲方应在证券交易所及乙方规定的标的证券内进行融资融券交易。甲方发出的超出乙方规定的标的证券范围的交易指令，乙方有权拒绝执行。</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甲方开展融资融券交易应当符合交易所的交易规则。</w:t>
      </w:r>
    </w:p>
    <w:p w:rsidR="000A0524" w:rsidRPr="000A0524" w:rsidRDefault="000A0524" w:rsidP="000A0524">
      <w:pPr>
        <w:numPr>
          <w:ilvl w:val="0"/>
          <w:numId w:val="10"/>
        </w:numPr>
        <w:spacing w:line="360" w:lineRule="auto"/>
        <w:rPr>
          <w:rFonts w:ascii="宋体" w:eastAsia="宋体" w:hAnsi="宋体" w:cs="Times New Roman"/>
          <w:sz w:val="24"/>
        </w:rPr>
      </w:pPr>
      <w:r w:rsidRPr="000A0524">
        <w:rPr>
          <w:rFonts w:ascii="宋体" w:eastAsia="宋体" w:hAnsi="宋体" w:cs="Times New Roman" w:hint="eastAsia"/>
          <w:sz w:val="24"/>
        </w:rPr>
        <w:t>融券期间，甲方卖出通过其所有或控制的证券账户所持有与其融入证券相同证券的，其卖出该证券的价格应符合交易所有关融券卖出申报价格的规定，但超出融券数量的部分除外，交易型开放式基金（交易型</w:t>
      </w:r>
      <w:r w:rsidRPr="000A0524">
        <w:rPr>
          <w:rFonts w:ascii="宋体" w:eastAsia="宋体" w:hAnsi="宋体" w:cs="Times New Roman"/>
          <w:sz w:val="24"/>
        </w:rPr>
        <w:t>开放式指数基金</w:t>
      </w:r>
      <w:r w:rsidRPr="000A0524">
        <w:rPr>
          <w:rFonts w:ascii="宋体" w:eastAsia="宋体" w:hAnsi="宋体" w:cs="Times New Roman" w:hint="eastAsia"/>
          <w:sz w:val="24"/>
        </w:rPr>
        <w:t>）或经交易所认可的其他证券不受该限制。甲方融券卖出的申报价格不得低于该证券的最新成交价；当天没有产生成交的，申报价格不得低于其前一日收盘价，交易型开放式指数基金或经交易所认可的其他证券不受该限制。低于上述价格的申报可能被证券交易所视为无效申报。甲方应自行承担因申报价格不符合相关规定所产生的损失。</w:t>
      </w:r>
    </w:p>
    <w:p w:rsidR="000A0524" w:rsidRPr="000A0524" w:rsidRDefault="000A0524" w:rsidP="000A0524">
      <w:pPr>
        <w:numPr>
          <w:ilvl w:val="0"/>
          <w:numId w:val="10"/>
        </w:numPr>
        <w:spacing w:line="360" w:lineRule="auto"/>
        <w:rPr>
          <w:rFonts w:ascii="宋体" w:eastAsia="宋体" w:hAnsi="宋体" w:cs="Times New Roman"/>
          <w:sz w:val="24"/>
        </w:rPr>
      </w:pPr>
      <w:r w:rsidRPr="000A0524">
        <w:rPr>
          <w:rFonts w:ascii="宋体" w:eastAsia="宋体" w:hAnsi="宋体" w:cs="Times New Roman" w:hint="eastAsia"/>
          <w:sz w:val="24"/>
        </w:rPr>
        <w:t>甲方违法违规使用账户，或存在严重影响正常交易秩序的异常交易行为的，乙方可以拒绝甲方委托，或终止与甲方的融资融券业务关系。</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甲方信用证券账户内融资买入的证券与自有担保的证券为相同证券的，系统默认合并计算。乙方将实时折算该只证券未了结的融资欠款对应的未了结股数，该部分股数甲方仅能使用卖券还款方式偿还甲方的融资欠款。</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未了结相关融券合约前，甲方融券卖出所得价款除以下用途外，不得另作他用：</w:t>
      </w:r>
    </w:p>
    <w:p w:rsidR="000A0524" w:rsidRPr="000A0524" w:rsidRDefault="000A0524" w:rsidP="000A0524">
      <w:pPr>
        <w:numPr>
          <w:ilvl w:val="0"/>
          <w:numId w:val="19"/>
        </w:numPr>
        <w:spacing w:line="360" w:lineRule="auto"/>
        <w:rPr>
          <w:rFonts w:ascii="宋体" w:eastAsia="宋体" w:hAnsi="宋体" w:cs="Times New Roman"/>
          <w:sz w:val="24"/>
        </w:rPr>
      </w:pPr>
      <w:r w:rsidRPr="000A0524">
        <w:rPr>
          <w:rFonts w:ascii="宋体" w:eastAsia="宋体" w:hAnsi="宋体" w:cs="Times New Roman" w:hint="eastAsia"/>
          <w:sz w:val="24"/>
        </w:rPr>
        <w:t>买券还券；</w:t>
      </w:r>
    </w:p>
    <w:p w:rsidR="000A0524" w:rsidRPr="000A0524" w:rsidRDefault="000A0524" w:rsidP="000A0524">
      <w:pPr>
        <w:numPr>
          <w:ilvl w:val="0"/>
          <w:numId w:val="19"/>
        </w:numPr>
        <w:spacing w:line="360" w:lineRule="auto"/>
        <w:rPr>
          <w:rFonts w:ascii="宋体" w:eastAsia="宋体" w:hAnsi="宋体" w:cs="Times New Roman"/>
          <w:sz w:val="24"/>
        </w:rPr>
      </w:pPr>
      <w:r w:rsidRPr="000A0524">
        <w:rPr>
          <w:rFonts w:ascii="宋体" w:eastAsia="宋体" w:hAnsi="宋体" w:cs="Times New Roman" w:hint="eastAsia"/>
          <w:sz w:val="24"/>
        </w:rPr>
        <w:t>偿还融资融券相关利息、费用和融券交易相关权益现金补偿；</w:t>
      </w:r>
    </w:p>
    <w:p w:rsidR="000A0524" w:rsidRPr="000A0524" w:rsidRDefault="000A0524" w:rsidP="000A0524">
      <w:pPr>
        <w:numPr>
          <w:ilvl w:val="0"/>
          <w:numId w:val="19"/>
        </w:numPr>
        <w:spacing w:line="360" w:lineRule="auto"/>
        <w:rPr>
          <w:rFonts w:ascii="宋体" w:eastAsia="宋体" w:hAnsi="宋体" w:cs="Times New Roman"/>
          <w:sz w:val="24"/>
        </w:rPr>
      </w:pPr>
      <w:r w:rsidRPr="000A0524">
        <w:rPr>
          <w:rFonts w:ascii="宋体" w:eastAsia="宋体" w:hAnsi="宋体" w:cs="Times New Roman" w:hint="eastAsia"/>
          <w:sz w:val="24"/>
        </w:rPr>
        <w:t>买入或申购乙方现金管理产品、货币市场基金以及交易所认可的其</w:t>
      </w:r>
      <w:r w:rsidRPr="000A0524">
        <w:rPr>
          <w:rFonts w:ascii="宋体" w:eastAsia="宋体" w:hAnsi="宋体" w:cs="Times New Roman" w:hint="eastAsia"/>
          <w:sz w:val="24"/>
        </w:rPr>
        <w:lastRenderedPageBreak/>
        <w:t>他高流动性证券；</w:t>
      </w:r>
    </w:p>
    <w:p w:rsidR="000A0524" w:rsidRPr="000A0524" w:rsidRDefault="000A0524" w:rsidP="000A0524">
      <w:pPr>
        <w:numPr>
          <w:ilvl w:val="0"/>
          <w:numId w:val="19"/>
        </w:numPr>
        <w:spacing w:line="360" w:lineRule="auto"/>
        <w:rPr>
          <w:rFonts w:ascii="宋体" w:eastAsia="宋体" w:hAnsi="宋体" w:cs="Times New Roman"/>
          <w:sz w:val="24"/>
        </w:rPr>
      </w:pPr>
      <w:r w:rsidRPr="000A0524">
        <w:rPr>
          <w:rFonts w:ascii="宋体" w:eastAsia="宋体" w:hAnsi="宋体" w:cs="Times New Roman" w:hint="eastAsia"/>
          <w:sz w:val="24"/>
        </w:rPr>
        <w:t>证监会及交易所规定的其他用途。</w:t>
      </w:r>
    </w:p>
    <w:p w:rsidR="000A0524" w:rsidRPr="000A0524" w:rsidRDefault="000A0524" w:rsidP="000A0524">
      <w:pPr>
        <w:spacing w:line="360" w:lineRule="auto"/>
        <w:ind w:firstLineChars="150" w:firstLine="360"/>
        <w:rPr>
          <w:rFonts w:ascii="宋体" w:eastAsia="宋体" w:hAnsi="宋体" w:cs="Times New Roman"/>
          <w:sz w:val="24"/>
        </w:rPr>
      </w:pPr>
      <w:r w:rsidRPr="000A0524">
        <w:rPr>
          <w:rFonts w:ascii="宋体" w:eastAsia="宋体" w:hAnsi="宋体" w:cs="Times New Roman" w:hint="eastAsia"/>
          <w:sz w:val="24"/>
        </w:rPr>
        <w:t>上述第2项、第3项（货币市场基金除外）、第4项用途乙方有权在其技术系统条件成熟时通过乙方公告实施，甲方应随时关注公告，及时了解上述调整。</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甲方可以在规定的范围内申请将证券在其普通证券账户和信用证券账户之间进行划转。若甲方委托划转的证券数量大于该证券账户中可划出的该种证券的数量，则视为甲方指令无效，由此产生的后果由甲方承担；若甲方采用还券划转方式偿还融券负债，多划转部分采用余券划转方式划转回甲方信用证券账户。</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若某时点乙方实际融资融券总规模，以及乙方向甲方融资融券规模等指标已经达到乙方规定的融资融券规模上限的，在该时点甲方不得再进行新的融资融券交易。</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乙方应为甲方建立融资融券交易明细账，如实记载甲方融资融券交易的情况，甲方可通过自助交易终端、电话（</w:t>
      </w:r>
      <w:r w:rsidRPr="000A0524">
        <w:rPr>
          <w:rFonts w:ascii="宋体" w:eastAsia="宋体" w:hAnsi="宋体" w:cs="Times New Roman" w:hint="eastAsia"/>
          <w:sz w:val="24"/>
          <w:szCs w:val="24"/>
        </w:rPr>
        <w:t>4006008008/95532）</w:t>
      </w:r>
      <w:r w:rsidRPr="000A0524">
        <w:rPr>
          <w:rFonts w:ascii="宋体" w:eastAsia="宋体" w:hAnsi="宋体" w:cs="Times New Roman" w:hint="eastAsia"/>
          <w:sz w:val="24"/>
        </w:rPr>
        <w:t>、网上交易系统、柜台等方式进行查询或下载。</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甲方通过其信用账户、交易密码或者其他身份识别方式进入乙方交易系统进行融资融券交易。乙方在交易系统中保存的记录甲方融资融券交易的数据电文，是单笔融资融券交易借贷关系成立和履行的依据，与本合同具有同等法律效力。甲方和乙方同意并授权乙方可对双方之间的电话联络进行电话录音。双方同意被录音的内容可作为直接证据，将在由本合同引起的或者有关的任何诉讼、申诉或者法律程序中成为可接受的证据。</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乙方将按规定对甲方融资融券交易行为进行监控，若甲方出现监管部门、证券交易所、</w:t>
      </w:r>
      <w:r w:rsidRPr="000A0524">
        <w:rPr>
          <w:rFonts w:ascii="宋体" w:eastAsia="宋体" w:hAnsi="宋体" w:cs="Times New Roman"/>
          <w:sz w:val="24"/>
        </w:rPr>
        <w:t>乙方</w:t>
      </w:r>
      <w:r w:rsidRPr="000A0524">
        <w:rPr>
          <w:rFonts w:ascii="宋体" w:eastAsia="宋体" w:hAnsi="宋体" w:cs="Times New Roman" w:hint="eastAsia"/>
          <w:sz w:val="24"/>
        </w:rPr>
        <w:t>规定的异常交易行为，乙方将向监管部门、证券交易所报告，并有权按照监管部门、证券交易所的要求对甲方相关证券账户采取限制交易等措施。甲方因异常交易行为而被采取限制措施的，自行承担所有损失和一切后果。</w:t>
      </w:r>
    </w:p>
    <w:p w:rsidR="000A0524" w:rsidRPr="000A0524" w:rsidRDefault="000A0524" w:rsidP="000A0524">
      <w:pPr>
        <w:numPr>
          <w:ilvl w:val="1"/>
          <w:numId w:val="3"/>
        </w:numPr>
        <w:spacing w:line="360" w:lineRule="auto"/>
        <w:rPr>
          <w:rFonts w:ascii="宋体" w:eastAsia="宋体" w:hAnsi="宋体" w:cs="Times New Roman"/>
          <w:b/>
          <w:sz w:val="24"/>
        </w:rPr>
      </w:pPr>
      <w:r w:rsidRPr="000A0524">
        <w:rPr>
          <w:rFonts w:ascii="宋体" w:eastAsia="宋体" w:hAnsi="宋体" w:cs="Times New Roman" w:hint="eastAsia"/>
          <w:b/>
          <w:sz w:val="24"/>
        </w:rPr>
        <w:t xml:space="preserve"> 乙方有权对甲方信用账户单一证券持仓集中度实施交易控制。甲方信用账户持有的单一证券市值占其信用账户总资产的比例达到一定数值的，乙方有权采取限制甲方普通买入和融资买入该证券、降低授信额度等措施，当甲方信</w:t>
      </w:r>
      <w:r w:rsidRPr="000A0524">
        <w:rPr>
          <w:rFonts w:ascii="宋体" w:eastAsia="宋体" w:hAnsi="宋体" w:cs="Times New Roman" w:hint="eastAsia"/>
          <w:b/>
          <w:sz w:val="24"/>
        </w:rPr>
        <w:lastRenderedPageBreak/>
        <w:t>用账户持有的单一证券市值占其信用账户总资产的比例降至一定数值时，乙方有权取消甲方普通买入和融资买入的限制。上述具体数值以乙方公告为准。</w:t>
      </w:r>
    </w:p>
    <w:p w:rsidR="000A0524" w:rsidRPr="000A0524" w:rsidRDefault="000A0524" w:rsidP="000A0524">
      <w:pPr>
        <w:numPr>
          <w:ilvl w:val="1"/>
          <w:numId w:val="3"/>
        </w:numPr>
        <w:spacing w:line="360" w:lineRule="auto"/>
        <w:rPr>
          <w:rFonts w:ascii="宋体" w:eastAsia="宋体" w:hAnsi="宋体" w:cs="Times New Roman"/>
          <w:b/>
          <w:sz w:val="24"/>
        </w:rPr>
      </w:pPr>
      <w:r w:rsidRPr="000A0524">
        <w:rPr>
          <w:rFonts w:ascii="宋体" w:eastAsia="宋体" w:hAnsi="宋体" w:cs="Times New Roman" w:hint="eastAsia"/>
          <w:b/>
          <w:sz w:val="24"/>
        </w:rPr>
        <w:t>乙方收到甲方的委托指令后，应按照交易指令中所要求的时间或时机将该指令发送到证券交易所进行执行。但是，如果乙方收到交易指令的时间已经接近当日的收市时间，或甲方的指令不完整或者不明确，则乙方对由此而产生的后果不承担任何责任。</w:t>
      </w:r>
    </w:p>
    <w:p w:rsidR="000A0524" w:rsidRPr="000A0524" w:rsidRDefault="000A0524" w:rsidP="000A0524">
      <w:pPr>
        <w:numPr>
          <w:ilvl w:val="1"/>
          <w:numId w:val="3"/>
        </w:numPr>
        <w:spacing w:line="360" w:lineRule="auto"/>
        <w:rPr>
          <w:rFonts w:ascii="宋体" w:eastAsia="宋体" w:hAnsi="宋体" w:cs="Times New Roman"/>
          <w:b/>
          <w:sz w:val="24"/>
        </w:rPr>
      </w:pPr>
      <w:r w:rsidRPr="000A0524">
        <w:rPr>
          <w:rFonts w:ascii="宋体" w:eastAsia="宋体" w:hAnsi="宋体" w:cs="Times New Roman" w:hint="eastAsia"/>
          <w:b/>
          <w:sz w:val="24"/>
        </w:rPr>
        <w:t>每个交易日结束后，根据证券交易所和登记结算公司提供的数据和甲方的实际成交情况，乙方于当日进行清算。甲方如有任何异议应于下一个工作日的上午09:15之前向乙方提出，否则乙方将视甲方已经确认。如出现任何问题，双方应尽力于交易日之后的第一个工作日的15:00之前解决。</w:t>
      </w:r>
    </w:p>
    <w:p w:rsidR="000A0524" w:rsidRPr="000A0524" w:rsidRDefault="000A0524" w:rsidP="000A0524">
      <w:pPr>
        <w:numPr>
          <w:ilvl w:val="1"/>
          <w:numId w:val="3"/>
        </w:numPr>
        <w:spacing w:line="360" w:lineRule="auto"/>
        <w:rPr>
          <w:rFonts w:ascii="宋体" w:eastAsia="宋体" w:hAnsi="宋体" w:cs="Times New Roman"/>
          <w:b/>
          <w:sz w:val="24"/>
        </w:rPr>
      </w:pPr>
      <w:r w:rsidRPr="000A0524">
        <w:rPr>
          <w:rFonts w:ascii="宋体" w:eastAsia="宋体" w:hAnsi="宋体" w:cs="Times New Roman"/>
          <w:b/>
          <w:sz w:val="24"/>
        </w:rPr>
        <w:t>当按如下方式计算的某只股票市值的比例达到乙方规定的比例时，乙方</w:t>
      </w:r>
      <w:r w:rsidRPr="000A0524">
        <w:rPr>
          <w:rFonts w:ascii="宋体" w:eastAsia="宋体" w:hAnsi="宋体" w:cs="Times New Roman" w:hint="eastAsia"/>
          <w:b/>
          <w:sz w:val="24"/>
        </w:rPr>
        <w:t>有权</w:t>
      </w:r>
      <w:r w:rsidRPr="000A0524">
        <w:rPr>
          <w:rFonts w:ascii="宋体" w:eastAsia="宋体" w:hAnsi="宋体" w:cs="Times New Roman"/>
          <w:b/>
          <w:sz w:val="24"/>
        </w:rPr>
        <w:t>限制甲方在其信用证券账户中买入</w:t>
      </w:r>
      <w:r w:rsidRPr="000A0524">
        <w:rPr>
          <w:rFonts w:ascii="宋体" w:eastAsia="宋体" w:hAnsi="宋体" w:cs="Times New Roman" w:hint="eastAsia"/>
          <w:b/>
          <w:sz w:val="24"/>
        </w:rPr>
        <w:t>、</w:t>
      </w:r>
      <w:r w:rsidRPr="000A0524">
        <w:rPr>
          <w:rFonts w:ascii="宋体" w:eastAsia="宋体" w:hAnsi="宋体" w:cs="Times New Roman"/>
          <w:b/>
          <w:sz w:val="24"/>
        </w:rPr>
        <w:t>担保品转入该股票。本条中所述的乙方规定比例的计算公式包括</w:t>
      </w:r>
      <w:r w:rsidRPr="000A0524">
        <w:rPr>
          <w:rFonts w:ascii="宋体" w:eastAsia="宋体" w:hAnsi="宋体" w:cs="Times New Roman" w:hint="eastAsia"/>
          <w:b/>
          <w:sz w:val="24"/>
        </w:rPr>
        <w:t>：</w:t>
      </w:r>
    </w:p>
    <w:p w:rsidR="000A0524" w:rsidRPr="000A0524" w:rsidRDefault="000A0524" w:rsidP="000A0524">
      <w:pPr>
        <w:widowControl/>
        <w:tabs>
          <w:tab w:val="num" w:pos="2148"/>
        </w:tabs>
        <w:spacing w:line="360" w:lineRule="auto"/>
        <w:jc w:val="left"/>
        <w:rPr>
          <w:rFonts w:ascii="宋体" w:eastAsia="宋体" w:hAnsi="宋体" w:cs="Times New Roman"/>
          <w:b/>
          <w:sz w:val="24"/>
        </w:rPr>
      </w:pPr>
      <w:r w:rsidRPr="000A0524">
        <w:rPr>
          <w:rFonts w:ascii="宋体" w:eastAsia="宋体" w:hAnsi="宋体" w:cs="Times New Roman" w:hint="eastAsia"/>
          <w:b/>
          <w:sz w:val="24"/>
        </w:rPr>
        <w:t>（一）</w:t>
      </w:r>
      <w:r w:rsidRPr="000A0524">
        <w:rPr>
          <w:rFonts w:ascii="宋体" w:eastAsia="宋体" w:hAnsi="宋体" w:cs="Times New Roman"/>
          <w:b/>
          <w:sz w:val="24"/>
        </w:rPr>
        <w:t>甲方信用账户中持有的单只股票市值/该只股票总市值；</w:t>
      </w:r>
    </w:p>
    <w:p w:rsidR="000A0524" w:rsidRPr="000A0524" w:rsidRDefault="000A0524" w:rsidP="000A0524">
      <w:pPr>
        <w:spacing w:line="360" w:lineRule="auto"/>
        <w:rPr>
          <w:rFonts w:ascii="宋体" w:eastAsia="宋体" w:hAnsi="宋体" w:cs="Times New Roman"/>
          <w:b/>
          <w:sz w:val="24"/>
        </w:rPr>
      </w:pPr>
      <w:r w:rsidRPr="000A0524">
        <w:rPr>
          <w:rFonts w:ascii="宋体" w:eastAsia="宋体" w:hAnsi="宋体" w:cs="Times New Roman" w:hint="eastAsia"/>
          <w:b/>
          <w:sz w:val="24"/>
        </w:rPr>
        <w:t>（二）乙方</w:t>
      </w:r>
      <w:r w:rsidRPr="000A0524">
        <w:rPr>
          <w:rFonts w:ascii="宋体" w:eastAsia="宋体" w:hAnsi="宋体" w:cs="Times New Roman"/>
          <w:b/>
          <w:sz w:val="24"/>
        </w:rPr>
        <w:t>全体融资融券客户信用证券账户中合计</w:t>
      </w:r>
      <w:r w:rsidRPr="000A0524">
        <w:rPr>
          <w:rFonts w:ascii="宋体" w:eastAsia="宋体" w:hAnsi="宋体" w:cs="Times New Roman" w:hint="eastAsia"/>
          <w:b/>
          <w:sz w:val="24"/>
        </w:rPr>
        <w:t>持有的单只股票市值/</w:t>
      </w:r>
      <w:r w:rsidRPr="000A0524">
        <w:rPr>
          <w:rFonts w:ascii="宋体" w:eastAsia="宋体" w:hAnsi="宋体" w:cs="Times New Roman"/>
          <w:b/>
          <w:sz w:val="24"/>
        </w:rPr>
        <w:t>该只股票总市值</w:t>
      </w:r>
      <w:r w:rsidRPr="000A0524">
        <w:rPr>
          <w:rFonts w:ascii="宋体" w:eastAsia="宋体" w:hAnsi="宋体" w:cs="Times New Roman" w:hint="eastAsia"/>
          <w:b/>
          <w:sz w:val="24"/>
        </w:rPr>
        <w:t>；</w:t>
      </w:r>
    </w:p>
    <w:p w:rsidR="000A0524" w:rsidRPr="000A0524" w:rsidRDefault="000A0524" w:rsidP="000A0524">
      <w:pPr>
        <w:spacing w:line="360" w:lineRule="auto"/>
        <w:rPr>
          <w:rFonts w:ascii="宋体" w:eastAsia="宋体" w:hAnsi="宋体" w:cs="Times New Roman"/>
          <w:b/>
          <w:sz w:val="24"/>
        </w:rPr>
      </w:pPr>
      <w:r w:rsidRPr="000A0524">
        <w:rPr>
          <w:rFonts w:ascii="宋体" w:eastAsia="宋体" w:hAnsi="宋体" w:cs="Times New Roman" w:hint="eastAsia"/>
          <w:b/>
          <w:sz w:val="24"/>
        </w:rPr>
        <w:t>（三）乙方不时规定的其他比例。</w:t>
      </w:r>
    </w:p>
    <w:p w:rsidR="000A0524" w:rsidRPr="000A0524" w:rsidRDefault="000A0524" w:rsidP="000A0524">
      <w:pPr>
        <w:numPr>
          <w:ilvl w:val="1"/>
          <w:numId w:val="3"/>
        </w:numPr>
        <w:spacing w:line="360" w:lineRule="auto"/>
        <w:rPr>
          <w:rFonts w:ascii="宋体" w:eastAsia="宋体" w:hAnsi="宋体" w:cs="Times New Roman"/>
          <w:b/>
          <w:sz w:val="24"/>
        </w:rPr>
      </w:pPr>
      <w:r w:rsidRPr="000A0524">
        <w:rPr>
          <w:rFonts w:ascii="宋体" w:eastAsia="宋体" w:hAnsi="宋体" w:cs="Times New Roman"/>
          <w:b/>
          <w:sz w:val="24"/>
        </w:rPr>
        <w:t>当按如下方式计算的某只股票融资负债的比例达到乙方规定的比例时，乙方</w:t>
      </w:r>
      <w:r w:rsidRPr="000A0524">
        <w:rPr>
          <w:rFonts w:ascii="宋体" w:eastAsia="宋体" w:hAnsi="宋体" w:cs="Times New Roman" w:hint="eastAsia"/>
          <w:b/>
          <w:sz w:val="24"/>
        </w:rPr>
        <w:t>有权</w:t>
      </w:r>
      <w:r w:rsidRPr="000A0524">
        <w:rPr>
          <w:rFonts w:ascii="宋体" w:eastAsia="宋体" w:hAnsi="宋体" w:cs="Times New Roman"/>
          <w:b/>
          <w:sz w:val="24"/>
        </w:rPr>
        <w:t>限制甲方在其信用证券账户中融资买入该股票。本条中所述的乙方规定比例的计算公式包括：</w:t>
      </w:r>
    </w:p>
    <w:p w:rsidR="000A0524" w:rsidRPr="000A0524" w:rsidRDefault="000A0524" w:rsidP="000A0524">
      <w:pPr>
        <w:widowControl/>
        <w:tabs>
          <w:tab w:val="num" w:pos="2148"/>
        </w:tabs>
        <w:spacing w:line="360" w:lineRule="auto"/>
        <w:jc w:val="left"/>
        <w:rPr>
          <w:rFonts w:ascii="宋体" w:eastAsia="宋体" w:hAnsi="宋体" w:cs="Times New Roman"/>
          <w:b/>
          <w:sz w:val="24"/>
        </w:rPr>
      </w:pPr>
      <w:r w:rsidRPr="000A0524">
        <w:rPr>
          <w:rFonts w:ascii="宋体" w:eastAsia="宋体" w:hAnsi="宋体" w:cs="Times New Roman" w:hint="eastAsia"/>
          <w:b/>
          <w:sz w:val="24"/>
        </w:rPr>
        <w:t>（一）</w:t>
      </w:r>
      <w:r w:rsidRPr="000A0524">
        <w:rPr>
          <w:rFonts w:ascii="宋体" w:eastAsia="宋体" w:hAnsi="宋体" w:cs="Times New Roman"/>
          <w:b/>
          <w:sz w:val="24"/>
        </w:rPr>
        <w:t xml:space="preserve">甲方信用账户中单只股票融资负债金额/该只股票近一阶段的日均成交额。“近一阶段”具体期间由乙方决定； </w:t>
      </w:r>
    </w:p>
    <w:p w:rsidR="000A0524" w:rsidRPr="000A0524" w:rsidRDefault="000A0524" w:rsidP="000A0524">
      <w:pPr>
        <w:widowControl/>
        <w:tabs>
          <w:tab w:val="num" w:pos="2148"/>
        </w:tabs>
        <w:spacing w:line="360" w:lineRule="auto"/>
        <w:jc w:val="left"/>
        <w:rPr>
          <w:rFonts w:ascii="宋体" w:eastAsia="宋体" w:hAnsi="宋体" w:cs="Times New Roman"/>
          <w:b/>
          <w:sz w:val="24"/>
        </w:rPr>
      </w:pPr>
      <w:r w:rsidRPr="000A0524">
        <w:rPr>
          <w:rFonts w:ascii="宋体" w:eastAsia="宋体" w:hAnsi="宋体" w:cs="Times New Roman" w:hint="eastAsia"/>
          <w:b/>
          <w:sz w:val="24"/>
        </w:rPr>
        <w:t>（二）</w:t>
      </w:r>
      <w:r w:rsidRPr="000A0524">
        <w:rPr>
          <w:rFonts w:ascii="宋体" w:eastAsia="宋体" w:hAnsi="宋体" w:cs="Times New Roman"/>
          <w:b/>
          <w:sz w:val="24"/>
        </w:rPr>
        <w:t>乙方全体融资融券客户信用证券账户中合计单只股票融资负债金额/该只股票流通市值；</w:t>
      </w:r>
    </w:p>
    <w:p w:rsidR="000A0524" w:rsidRPr="000A0524" w:rsidRDefault="000A0524" w:rsidP="000A0524">
      <w:pPr>
        <w:widowControl/>
        <w:tabs>
          <w:tab w:val="num" w:pos="2148"/>
        </w:tabs>
        <w:spacing w:line="360" w:lineRule="auto"/>
        <w:jc w:val="left"/>
        <w:rPr>
          <w:rFonts w:ascii="宋体" w:eastAsia="宋体" w:hAnsi="宋体" w:cs="Times New Roman"/>
          <w:b/>
          <w:sz w:val="24"/>
        </w:rPr>
      </w:pPr>
      <w:r w:rsidRPr="000A0524">
        <w:rPr>
          <w:rFonts w:ascii="宋体" w:eastAsia="宋体" w:hAnsi="宋体" w:cs="Times New Roman" w:hint="eastAsia"/>
          <w:b/>
          <w:sz w:val="24"/>
        </w:rPr>
        <w:t>（三）</w:t>
      </w:r>
      <w:r w:rsidRPr="000A0524">
        <w:rPr>
          <w:rFonts w:ascii="宋体" w:eastAsia="宋体" w:hAnsi="宋体" w:cs="Times New Roman"/>
          <w:b/>
          <w:sz w:val="24"/>
        </w:rPr>
        <w:t>乙方不时规定的其他比例。</w:t>
      </w:r>
    </w:p>
    <w:p w:rsidR="000A0524" w:rsidRPr="000A0524" w:rsidRDefault="000A0524" w:rsidP="000A0524">
      <w:pPr>
        <w:numPr>
          <w:ilvl w:val="1"/>
          <w:numId w:val="3"/>
        </w:numPr>
        <w:spacing w:line="360" w:lineRule="auto"/>
        <w:rPr>
          <w:rFonts w:ascii="宋体" w:eastAsia="宋体" w:hAnsi="宋体" w:cs="Times New Roman"/>
          <w:b/>
          <w:sz w:val="24"/>
        </w:rPr>
      </w:pPr>
      <w:r w:rsidRPr="000A0524">
        <w:rPr>
          <w:rFonts w:ascii="宋体" w:eastAsia="宋体" w:hAnsi="宋体" w:cs="Times New Roman"/>
          <w:b/>
          <w:sz w:val="24"/>
        </w:rPr>
        <w:t>甲方的信用证券账户中某只</w:t>
      </w:r>
      <w:r w:rsidRPr="000A0524">
        <w:rPr>
          <w:rFonts w:ascii="宋体" w:eastAsia="宋体" w:hAnsi="宋体" w:cs="Times New Roman" w:hint="eastAsia"/>
          <w:b/>
          <w:sz w:val="24"/>
        </w:rPr>
        <w:t>证券</w:t>
      </w:r>
      <w:r w:rsidRPr="000A0524">
        <w:rPr>
          <w:rFonts w:ascii="宋体" w:eastAsia="宋体" w:hAnsi="宋体" w:cs="Times New Roman"/>
          <w:b/>
          <w:sz w:val="24"/>
        </w:rPr>
        <w:t>融券卖出市值的比例不得超出乙方规定的比例，</w:t>
      </w:r>
      <w:r w:rsidRPr="000A0524">
        <w:rPr>
          <w:rFonts w:ascii="宋体" w:eastAsia="宋体" w:hAnsi="宋体" w:cs="Times New Roman" w:hint="eastAsia"/>
          <w:b/>
          <w:sz w:val="24"/>
        </w:rPr>
        <w:t>即融券</w:t>
      </w:r>
      <w:r w:rsidRPr="000A0524">
        <w:rPr>
          <w:rFonts w:ascii="宋体" w:eastAsia="宋体" w:hAnsi="宋体" w:cs="Times New Roman"/>
          <w:b/>
          <w:sz w:val="24"/>
        </w:rPr>
        <w:t>负债集中度，否则，乙方</w:t>
      </w:r>
      <w:r w:rsidRPr="000A0524">
        <w:rPr>
          <w:rFonts w:ascii="宋体" w:eastAsia="宋体" w:hAnsi="宋体" w:cs="Times New Roman" w:hint="eastAsia"/>
          <w:b/>
          <w:sz w:val="24"/>
        </w:rPr>
        <w:t>有权</w:t>
      </w:r>
      <w:r w:rsidRPr="000A0524">
        <w:rPr>
          <w:rFonts w:ascii="宋体" w:eastAsia="宋体" w:hAnsi="宋体" w:cs="Times New Roman"/>
          <w:b/>
          <w:sz w:val="24"/>
        </w:rPr>
        <w:t>限制甲方在其信用账户中融券卖出该</w:t>
      </w:r>
      <w:r w:rsidRPr="000A0524">
        <w:rPr>
          <w:rFonts w:ascii="宋体" w:eastAsia="宋体" w:hAnsi="宋体" w:cs="Times New Roman" w:hint="eastAsia"/>
          <w:b/>
          <w:sz w:val="24"/>
        </w:rPr>
        <w:t>证券</w:t>
      </w:r>
      <w:r w:rsidRPr="000A0524">
        <w:rPr>
          <w:rFonts w:ascii="宋体" w:eastAsia="宋体" w:hAnsi="宋体" w:cs="Times New Roman"/>
          <w:b/>
          <w:sz w:val="24"/>
        </w:rPr>
        <w:t>。本条中所述的乙方规定比例的计算公式为：甲方的信用证券账户中该只</w:t>
      </w:r>
      <w:r w:rsidRPr="000A0524">
        <w:rPr>
          <w:rFonts w:ascii="宋体" w:eastAsia="宋体" w:hAnsi="宋体" w:cs="Times New Roman" w:hint="eastAsia"/>
          <w:b/>
          <w:sz w:val="24"/>
        </w:rPr>
        <w:t>证券</w:t>
      </w:r>
      <w:r w:rsidRPr="000A0524">
        <w:rPr>
          <w:rFonts w:ascii="宋体" w:eastAsia="宋体" w:hAnsi="宋体" w:cs="Times New Roman"/>
          <w:b/>
          <w:sz w:val="24"/>
        </w:rPr>
        <w:t>融券卖出市值/甲方信用账户净资产。</w:t>
      </w:r>
    </w:p>
    <w:p w:rsidR="000A0524" w:rsidRPr="000A0524" w:rsidRDefault="000A0524" w:rsidP="000A0524">
      <w:pPr>
        <w:numPr>
          <w:ilvl w:val="1"/>
          <w:numId w:val="3"/>
        </w:numPr>
        <w:spacing w:line="360" w:lineRule="auto"/>
        <w:rPr>
          <w:rFonts w:ascii="宋体" w:eastAsia="宋体" w:hAnsi="宋体" w:cs="Times New Roman"/>
          <w:b/>
          <w:sz w:val="24"/>
        </w:rPr>
      </w:pPr>
      <w:r w:rsidRPr="000A0524">
        <w:rPr>
          <w:rFonts w:ascii="宋体" w:eastAsia="宋体" w:hAnsi="宋体" w:cs="Times New Roman"/>
          <w:b/>
          <w:sz w:val="24"/>
        </w:rPr>
        <w:lastRenderedPageBreak/>
        <w:t>本章约定的各项控制指标将通过乙方网站公示信息、营业场所或交易系统等渠道予以公布，具体比例、数值以乙方公布的为准。乙方有权根据监管规定、市场情况、甲方的资信状况、乙方的风险管理需要对本章约定的各项控制指标进行动态差异化调整，并通过乙方网站公示信息、营业场所或交易系统等渠道予以公布执行，请甲方及时关注。</w:t>
      </w:r>
    </w:p>
    <w:p w:rsidR="000A0524" w:rsidRPr="000A0524" w:rsidRDefault="000A0524" w:rsidP="000A0524">
      <w:pPr>
        <w:numPr>
          <w:ilvl w:val="1"/>
          <w:numId w:val="3"/>
        </w:numPr>
        <w:spacing w:line="360" w:lineRule="auto"/>
        <w:rPr>
          <w:rFonts w:ascii="宋体" w:eastAsia="宋体" w:hAnsi="宋体" w:cs="Times New Roman"/>
          <w:b/>
          <w:sz w:val="24"/>
        </w:rPr>
      </w:pPr>
      <w:r w:rsidRPr="000A0524">
        <w:rPr>
          <w:rFonts w:ascii="宋体" w:eastAsia="宋体" w:hAnsi="宋体" w:cs="Times New Roman" w:hint="eastAsia"/>
          <w:b/>
          <w:sz w:val="24"/>
        </w:rPr>
        <w:t>甲方应保证其信用账户持续符合本合同约定及上述控制指标，否则乙方有权采取限制甲方信用账户融资买入、普通买入、融券卖出交易权限；降低甲方融资融券授信额度；宣布甲方融资融券合约提前到期等措施。上述控制措施对甲方信用账户交易将造成一系列限制，甲方知悉并同意乙方采取的有关控制措施，并自愿承担对其可能造成的风险及损失。上述措施乙方有权根据实际情况决定是否采取、采取的时间或者采取其中一种或多种控制措施。</w:t>
      </w:r>
    </w:p>
    <w:p w:rsidR="000A0524" w:rsidRPr="000A0524" w:rsidRDefault="000A0524" w:rsidP="000A0524">
      <w:pPr>
        <w:spacing w:line="360" w:lineRule="auto"/>
        <w:rPr>
          <w:rFonts w:ascii="宋体" w:eastAsia="宋体" w:hAnsi="宋体" w:cs="Times New Roman"/>
          <w:b/>
          <w:sz w:val="24"/>
        </w:rPr>
      </w:pPr>
    </w:p>
    <w:p w:rsidR="000A0524" w:rsidRPr="000A0524" w:rsidRDefault="000A0524" w:rsidP="000A0524">
      <w:pPr>
        <w:spacing w:line="360" w:lineRule="auto"/>
        <w:rPr>
          <w:rFonts w:ascii="宋体" w:eastAsia="宋体" w:hAnsi="宋体" w:cs="Times New Roman"/>
          <w:sz w:val="24"/>
        </w:rPr>
      </w:pPr>
    </w:p>
    <w:p w:rsidR="000A0524" w:rsidRPr="000A0524" w:rsidRDefault="000A0524" w:rsidP="000A0524">
      <w:pPr>
        <w:spacing w:line="360" w:lineRule="auto"/>
        <w:jc w:val="center"/>
        <w:rPr>
          <w:rFonts w:ascii="宋体" w:eastAsia="宋体" w:hAnsi="宋体" w:cs="Times New Roman"/>
          <w:b/>
          <w:sz w:val="24"/>
        </w:rPr>
      </w:pPr>
      <w:r w:rsidRPr="000A0524">
        <w:rPr>
          <w:rFonts w:ascii="宋体" w:eastAsia="宋体" w:hAnsi="宋体" w:cs="Times New Roman" w:hint="eastAsia"/>
          <w:b/>
          <w:sz w:val="24"/>
        </w:rPr>
        <w:t>第十章  维持担保比例</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乙方对甲方信用账户内资产价值进行逐日盯市，甲方承诺，融资融券交易后甲方信用账户内担保资产的维持担保比例应高于平仓线。</w:t>
      </w:r>
    </w:p>
    <w:p w:rsidR="000A0524" w:rsidRPr="000A0524" w:rsidRDefault="000A0524" w:rsidP="000A0524">
      <w:pPr>
        <w:numPr>
          <w:ilvl w:val="1"/>
          <w:numId w:val="3"/>
        </w:numPr>
        <w:spacing w:line="360" w:lineRule="auto"/>
        <w:rPr>
          <w:rFonts w:ascii="宋体" w:eastAsia="宋体" w:hAnsi="宋体" w:cs="Times New Roman"/>
        </w:rPr>
      </w:pPr>
      <w:r w:rsidRPr="000A0524">
        <w:rPr>
          <w:rFonts w:ascii="宋体" w:eastAsia="宋体" w:hAnsi="宋体" w:cs="Times New Roman" w:hint="eastAsia"/>
          <w:sz w:val="24"/>
        </w:rPr>
        <w:t xml:space="preserve"> 若甲方信用账户仅计算现金及信用证券账户内证券市值总和的维持担保比例超过300%时，甲方可以提取信用账户内保证金可用余额中的现金或充抵保证金的证券，以及不属于可充抵保证金证券范围的证券，但提取后甲方信用账户仅计算现金及信用证券账户内证券市值总和的维持担保比例不得低于300%。甲方已了结全部融资融券合约的，可提取其信用账户中所有的资金和证券。</w:t>
      </w:r>
    </w:p>
    <w:p w:rsidR="000A0524" w:rsidRPr="000A0524" w:rsidRDefault="000A0524" w:rsidP="000A0524">
      <w:pPr>
        <w:spacing w:line="360" w:lineRule="auto"/>
        <w:rPr>
          <w:rFonts w:ascii="宋体" w:eastAsia="宋体" w:hAnsi="宋体" w:cs="Times New Roman"/>
          <w:sz w:val="24"/>
        </w:rPr>
      </w:pPr>
      <w:r w:rsidRPr="000A0524">
        <w:rPr>
          <w:rFonts w:ascii="宋体" w:eastAsia="宋体" w:hAnsi="宋体" w:cs="Times New Roman" w:hint="eastAsia"/>
          <w:sz w:val="24"/>
        </w:rPr>
        <w:t xml:space="preserve">   经甲乙双方协商一致，维持担保比例超过约定的数值时，甲方可以解除其他担保物的担保，但解除担保后的维持担保比例不得低于甲乙双方约定的数值。上述约定数值由甲乙双方另行约定。</w:t>
      </w:r>
    </w:p>
    <w:p w:rsidR="000A0524" w:rsidRPr="000A0524" w:rsidRDefault="000A0524" w:rsidP="000A0524">
      <w:pPr>
        <w:numPr>
          <w:ilvl w:val="1"/>
          <w:numId w:val="3"/>
        </w:numPr>
        <w:spacing w:line="360" w:lineRule="auto"/>
        <w:rPr>
          <w:rFonts w:ascii="宋体" w:eastAsia="宋体" w:hAnsi="宋体" w:cs="Times New Roman"/>
          <w:b/>
          <w:sz w:val="24"/>
        </w:rPr>
      </w:pPr>
      <w:r w:rsidRPr="000A0524">
        <w:rPr>
          <w:rFonts w:ascii="宋体" w:eastAsia="宋体" w:hAnsi="宋体" w:cs="Times New Roman" w:hint="eastAsia"/>
          <w:b/>
          <w:sz w:val="24"/>
        </w:rPr>
        <w:t>若甲方信用账户T日收市后的维持担保比例低于平仓线时，乙方将在甲方维持担保比例低于平仓线时限制甲方信用证券账户的融资融券新开仓交易，并按照与甲方约定的方式通知甲方补足担保物。甲方承诺在T+</w:t>
      </w:r>
      <w:r w:rsidRPr="000A0524">
        <w:rPr>
          <w:rFonts w:ascii="宋体" w:eastAsia="宋体" w:hAnsi="宋体" w:cs="Times New Roman"/>
          <w:b/>
          <w:sz w:val="24"/>
        </w:rPr>
        <w:t>1</w:t>
      </w:r>
      <w:r w:rsidRPr="000A0524">
        <w:rPr>
          <w:rFonts w:ascii="宋体" w:eastAsia="宋体" w:hAnsi="宋体" w:cs="Times New Roman" w:hint="eastAsia"/>
          <w:b/>
          <w:sz w:val="24"/>
        </w:rPr>
        <w:t>日内及时追加担保物或自行减仓，确保甲方信用账户维持担保比例在</w:t>
      </w:r>
      <w:r w:rsidRPr="000A0524">
        <w:rPr>
          <w:rFonts w:ascii="宋体" w:eastAsia="宋体" w:hAnsi="宋体" w:cs="Times New Roman" w:hint="eastAsia"/>
          <w:b/>
          <w:sz w:val="24"/>
          <w:szCs w:val="24"/>
        </w:rPr>
        <w:t>T＋1日</w:t>
      </w:r>
      <w:r w:rsidRPr="000A0524">
        <w:rPr>
          <w:rFonts w:ascii="宋体" w:eastAsia="宋体" w:hAnsi="宋体" w:cs="Times New Roman" w:hint="eastAsia"/>
          <w:b/>
          <w:sz w:val="24"/>
        </w:rPr>
        <w:t>收市后不低于警戒线，经乙方认可，甲方可以向乙方申请提交除现金及信用证券账户内证券以外</w:t>
      </w:r>
      <w:r w:rsidRPr="000A0524">
        <w:rPr>
          <w:rFonts w:ascii="宋体" w:eastAsia="宋体" w:hAnsi="宋体" w:cs="Times New Roman" w:hint="eastAsia"/>
          <w:b/>
          <w:sz w:val="24"/>
        </w:rPr>
        <w:lastRenderedPageBreak/>
        <w:t>的其他担保物；若甲方未能在T＋</w:t>
      </w:r>
      <w:r w:rsidRPr="000A0524">
        <w:rPr>
          <w:rFonts w:ascii="宋体" w:eastAsia="宋体" w:hAnsi="宋体" w:cs="Times New Roman"/>
          <w:b/>
          <w:sz w:val="24"/>
        </w:rPr>
        <w:t>1</w:t>
      </w:r>
      <w:r w:rsidRPr="000A0524">
        <w:rPr>
          <w:rFonts w:ascii="宋体" w:eastAsia="宋体" w:hAnsi="宋体" w:cs="Times New Roman" w:hint="eastAsia"/>
          <w:b/>
          <w:sz w:val="24"/>
        </w:rPr>
        <w:t>日内追加担保物或自行减仓，以使维持担保比例在</w:t>
      </w:r>
      <w:r w:rsidRPr="000A0524">
        <w:rPr>
          <w:rFonts w:ascii="宋体" w:eastAsia="宋体" w:hAnsi="宋体" w:cs="Times New Roman" w:hint="eastAsia"/>
          <w:b/>
          <w:sz w:val="24"/>
          <w:szCs w:val="24"/>
        </w:rPr>
        <w:t>T＋1日</w:t>
      </w:r>
      <w:r w:rsidRPr="000A0524">
        <w:rPr>
          <w:rFonts w:ascii="宋体" w:eastAsia="宋体" w:hAnsi="宋体" w:cs="Times New Roman" w:hint="eastAsia"/>
          <w:b/>
          <w:sz w:val="24"/>
        </w:rPr>
        <w:t>收市后达到警戒线及以上，乙方有权在T＋</w:t>
      </w:r>
      <w:r w:rsidRPr="000A0524">
        <w:rPr>
          <w:rFonts w:ascii="宋体" w:eastAsia="宋体" w:hAnsi="宋体" w:cs="Times New Roman"/>
          <w:b/>
          <w:sz w:val="24"/>
        </w:rPr>
        <w:t>2</w:t>
      </w:r>
      <w:r w:rsidRPr="000A0524">
        <w:rPr>
          <w:rFonts w:ascii="宋体" w:eastAsia="宋体" w:hAnsi="宋体" w:cs="Times New Roman" w:hint="eastAsia"/>
          <w:b/>
          <w:sz w:val="24"/>
        </w:rPr>
        <w:t>日起对甲方信用账户内的资产进行强制平仓，直至甲方信用账户资产的维持担保比例达到警戒线以上的要求。</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当甲方追加的担保物为证券时，在符合证券交易所有关担保物的规定下，乙方有权决定可接受作为担保物的证券种类和数额。当甲方信用账户按最新成交价计算的维持担保比例低于平仓线时，乙方有权在盘中时要求甲方追加担保物。</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当甲方根据乙方的通知完成追加担保物后有义务及时通知乙方，但无论任何原因导致乙方未能查询到或者未能知悉甲方追加的担保物在本合同规定的时间内到达甲方的信用资金账户或信用证券账户，即视为甲方未按期交足担保物，乙方仍有权根据本合同约定进行强制平仓。</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在追加担保物时，如果甲方通过证券划转的方式（即将证券从甲方在乙方处的普通证券账户划转至甲方信用证券账户）进行担保物补足的，在划转时乙方有权冻结甲方普通证券账户下需要划出的标的证券，并暂时认为甲方追加担保物成功。但上述证券划转是否成功将视证券登记结算公司的日终确认而最终确定。如果证券登记结算公司日终未确认上述证券划转成功，乙方有权要求甲方继续追加担保物，并有权在下一个交易日决定是否执行平仓操作。</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乙方按本合同约定</w:t>
      </w:r>
      <w:r w:rsidRPr="000A0524">
        <w:rPr>
          <w:rFonts w:ascii="宋体" w:eastAsia="宋体" w:hAnsi="宋体" w:cs="Times New Roman"/>
          <w:sz w:val="24"/>
        </w:rPr>
        <w:t>的通知方式</w:t>
      </w:r>
      <w:r w:rsidRPr="000A0524">
        <w:rPr>
          <w:rFonts w:ascii="宋体" w:eastAsia="宋体" w:hAnsi="宋体" w:cs="Times New Roman" w:hint="eastAsia"/>
          <w:sz w:val="24"/>
        </w:rPr>
        <w:t>通知甲方追加担保物，甲方应及时</w:t>
      </w:r>
      <w:r w:rsidRPr="000A0524">
        <w:rPr>
          <w:rFonts w:ascii="宋体" w:eastAsia="宋体" w:hAnsi="宋体" w:cs="Times New Roman"/>
          <w:sz w:val="24"/>
        </w:rPr>
        <w:t>查收通知，送达时间以本合同约定</w:t>
      </w:r>
      <w:r w:rsidRPr="000A0524">
        <w:rPr>
          <w:rFonts w:ascii="宋体" w:eastAsia="宋体" w:hAnsi="宋体" w:cs="Times New Roman" w:hint="eastAsia"/>
          <w:sz w:val="24"/>
        </w:rPr>
        <w:t>为准。</w:t>
      </w:r>
    </w:p>
    <w:p w:rsidR="000A0524" w:rsidRPr="000A0524" w:rsidRDefault="000A0524" w:rsidP="000A0524">
      <w:pPr>
        <w:spacing w:line="360" w:lineRule="auto"/>
        <w:rPr>
          <w:rFonts w:ascii="宋体" w:eastAsia="宋体" w:hAnsi="宋体" w:cs="Times New Roman"/>
          <w:sz w:val="24"/>
        </w:rPr>
      </w:pPr>
    </w:p>
    <w:p w:rsidR="000A0524" w:rsidRPr="000A0524" w:rsidRDefault="000A0524" w:rsidP="000A0524">
      <w:pPr>
        <w:spacing w:line="360" w:lineRule="auto"/>
        <w:jc w:val="center"/>
        <w:rPr>
          <w:rFonts w:ascii="宋体" w:eastAsia="宋体" w:hAnsi="宋体" w:cs="Times New Roman"/>
          <w:b/>
          <w:sz w:val="24"/>
        </w:rPr>
      </w:pPr>
      <w:r w:rsidRPr="000A0524">
        <w:rPr>
          <w:rFonts w:ascii="宋体" w:eastAsia="宋体" w:hAnsi="宋体" w:cs="Times New Roman" w:hint="eastAsia"/>
          <w:b/>
          <w:sz w:val="24"/>
        </w:rPr>
        <w:t>第十一章  强制平仓</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甲方信用账户T日收市后维持担保比例低于平仓线，乙方有权按照本合同第十章</w:t>
      </w:r>
      <w:r w:rsidRPr="000A0524">
        <w:rPr>
          <w:rFonts w:ascii="宋体" w:eastAsia="宋体" w:hAnsi="宋体" w:cs="Times New Roman"/>
          <w:sz w:val="24"/>
        </w:rPr>
        <w:t>的相关</w:t>
      </w:r>
      <w:r w:rsidRPr="000A0524">
        <w:rPr>
          <w:rFonts w:ascii="宋体" w:eastAsia="宋体" w:hAnsi="宋体" w:cs="Times New Roman" w:hint="eastAsia"/>
          <w:sz w:val="24"/>
        </w:rPr>
        <w:t>约定对</w:t>
      </w:r>
      <w:r w:rsidRPr="000A0524">
        <w:rPr>
          <w:rFonts w:ascii="宋体" w:eastAsia="宋体" w:hAnsi="宋体" w:cs="Times New Roman"/>
          <w:sz w:val="24"/>
        </w:rPr>
        <w:t>甲方</w:t>
      </w:r>
      <w:r w:rsidRPr="000A0524">
        <w:rPr>
          <w:rFonts w:ascii="宋体" w:eastAsia="宋体" w:hAnsi="宋体" w:cs="Times New Roman" w:hint="eastAsia"/>
          <w:sz w:val="24"/>
        </w:rPr>
        <w:t>信用</w:t>
      </w:r>
      <w:r w:rsidRPr="000A0524">
        <w:rPr>
          <w:rFonts w:ascii="宋体" w:eastAsia="宋体" w:hAnsi="宋体" w:cs="Times New Roman"/>
          <w:sz w:val="24"/>
        </w:rPr>
        <w:t>账户进行</w:t>
      </w:r>
      <w:r w:rsidRPr="000A0524">
        <w:rPr>
          <w:rFonts w:ascii="宋体" w:eastAsia="宋体" w:hAnsi="宋体" w:cs="Times New Roman" w:hint="eastAsia"/>
          <w:sz w:val="24"/>
        </w:rPr>
        <w:t>强制平仓。</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合约或本合同到期（包括合同解除、提前终止、提前到期），甲方未履行或未完全履行偿还融资融券债务义务的，乙方有权在未了结合约或合同到期日（T日）后一交易日（T+1日）对甲方到期未了结合约或信用账户执行强制平仓操作。</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若依据行政监管、司法机关要求，需要对甲方信用证券账户或者信</w:t>
      </w:r>
      <w:r w:rsidRPr="000A0524">
        <w:rPr>
          <w:rFonts w:ascii="宋体" w:eastAsia="宋体" w:hAnsi="宋体" w:cs="Times New Roman" w:hint="eastAsia"/>
          <w:sz w:val="24"/>
        </w:rPr>
        <w:lastRenderedPageBreak/>
        <w:t>用资金账户记载的权益采取财产保全或者强制执行措施的，乙方将对甲方进行强制平仓，了结甲方所有融资融券交易后，将剩余资金和证券划转至甲方普通账户，并按照行政监管、司法机关要求进行处理。</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甲方信用账户记载的权益被继承、财产分割、遗赠、捐赠或无偿转让的，相关权利人应当向乙方申请了结所有融资融券交易，未在规定时间内自行了结所有融资融券交易的，乙方有权对甲方进行强制平仓。了结后有剩余资金或证券的，乙方将剩余资金、证券转到甲方普通账户后，方可办理有关继承、财产分割、遗赠、捐赠或无偿转让手续。</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甲方融资融券期间，若标的证券所在上市公司发生收购、终止上市等特殊情况且甲方未按约定提前了结该证券的融资、融券负债的，乙方有权按照本合同第十二</w:t>
      </w:r>
      <w:r w:rsidRPr="000A0524">
        <w:rPr>
          <w:rFonts w:ascii="宋体" w:eastAsia="宋体" w:hAnsi="宋体" w:cs="Times New Roman"/>
          <w:sz w:val="24"/>
        </w:rPr>
        <w:t>章</w:t>
      </w:r>
      <w:r w:rsidRPr="000A0524">
        <w:rPr>
          <w:rFonts w:ascii="宋体" w:eastAsia="宋体" w:hAnsi="宋体" w:cs="Times New Roman" w:hint="eastAsia"/>
          <w:sz w:val="24"/>
        </w:rPr>
        <w:t>、</w:t>
      </w:r>
      <w:r w:rsidRPr="000A0524">
        <w:rPr>
          <w:rFonts w:ascii="宋体" w:eastAsia="宋体" w:hAnsi="宋体" w:cs="Times New Roman"/>
          <w:sz w:val="24"/>
        </w:rPr>
        <w:t>第十三章相关</w:t>
      </w:r>
      <w:r w:rsidRPr="000A0524">
        <w:rPr>
          <w:rFonts w:ascii="宋体" w:eastAsia="宋体" w:hAnsi="宋体" w:cs="Times New Roman" w:hint="eastAsia"/>
          <w:sz w:val="24"/>
        </w:rPr>
        <w:t>约定进行强制平仓。</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甲方</w:t>
      </w:r>
      <w:r w:rsidRPr="000A0524">
        <w:rPr>
          <w:rFonts w:ascii="宋体" w:eastAsia="宋体" w:hAnsi="宋体" w:cs="Times New Roman"/>
          <w:sz w:val="24"/>
        </w:rPr>
        <w:t>出现以下任一情况的，</w:t>
      </w:r>
      <w:r w:rsidRPr="000A0524">
        <w:rPr>
          <w:rFonts w:ascii="宋体" w:eastAsia="宋体" w:hAnsi="宋体" w:cs="Times New Roman" w:hint="eastAsia"/>
          <w:sz w:val="24"/>
        </w:rPr>
        <w:t>乙方</w:t>
      </w:r>
      <w:r w:rsidRPr="000A0524">
        <w:rPr>
          <w:rFonts w:ascii="宋体" w:eastAsia="宋体" w:hAnsi="宋体" w:cs="Times New Roman"/>
          <w:sz w:val="24"/>
        </w:rPr>
        <w:t>有权对甲方</w:t>
      </w:r>
      <w:r w:rsidRPr="000A0524">
        <w:rPr>
          <w:rFonts w:ascii="宋体" w:eastAsia="宋体" w:hAnsi="宋体" w:cs="Times New Roman" w:hint="eastAsia"/>
          <w:sz w:val="24"/>
        </w:rPr>
        <w:t>信用</w:t>
      </w:r>
      <w:r w:rsidRPr="000A0524">
        <w:rPr>
          <w:rFonts w:ascii="宋体" w:eastAsia="宋体" w:hAnsi="宋体" w:cs="Times New Roman"/>
          <w:sz w:val="24"/>
        </w:rPr>
        <w:t>账户进行强制平仓</w:t>
      </w:r>
      <w:r w:rsidRPr="000A0524">
        <w:rPr>
          <w:rFonts w:ascii="宋体" w:eastAsia="宋体" w:hAnsi="宋体" w:cs="Times New Roman" w:hint="eastAsia"/>
          <w:sz w:val="24"/>
        </w:rPr>
        <w:t>，</w:t>
      </w:r>
      <w:r w:rsidRPr="000A0524">
        <w:rPr>
          <w:rFonts w:ascii="宋体" w:eastAsia="宋体" w:hAnsi="宋体" w:cs="Times New Roman"/>
          <w:sz w:val="24"/>
        </w:rPr>
        <w:t>了结甲方对乙方所有融资融券负债</w:t>
      </w:r>
      <w:r w:rsidRPr="000A0524">
        <w:rPr>
          <w:rFonts w:ascii="宋体" w:eastAsia="宋体" w:hAnsi="宋体" w:cs="Times New Roman" w:hint="eastAsia"/>
          <w:sz w:val="24"/>
        </w:rPr>
        <w:t>：</w:t>
      </w:r>
    </w:p>
    <w:p w:rsidR="000A0524" w:rsidRPr="000A0524" w:rsidRDefault="000A0524" w:rsidP="000A0524">
      <w:pPr>
        <w:numPr>
          <w:ilvl w:val="1"/>
          <w:numId w:val="21"/>
        </w:numPr>
        <w:spacing w:line="360" w:lineRule="auto"/>
        <w:rPr>
          <w:rFonts w:ascii="宋体" w:eastAsia="宋体" w:hAnsi="宋体" w:cs="Times New Roman"/>
          <w:sz w:val="24"/>
        </w:rPr>
      </w:pPr>
      <w:r w:rsidRPr="000A0524">
        <w:rPr>
          <w:rFonts w:ascii="宋体" w:eastAsia="宋体" w:hAnsi="宋体" w:cs="Times New Roman" w:hint="eastAsia"/>
          <w:sz w:val="24"/>
        </w:rPr>
        <w:t>甲方存在违反法律法规或者本合同约定的行为，尤其甲方违反了本合同第二条规定的甲方向乙方作出的声明与保证事项；</w:t>
      </w:r>
    </w:p>
    <w:p w:rsidR="000A0524" w:rsidRPr="000A0524" w:rsidRDefault="000A0524" w:rsidP="000A0524">
      <w:pPr>
        <w:numPr>
          <w:ilvl w:val="1"/>
          <w:numId w:val="21"/>
        </w:numPr>
        <w:spacing w:line="360" w:lineRule="auto"/>
        <w:rPr>
          <w:rFonts w:ascii="宋体" w:eastAsia="宋体" w:hAnsi="宋体" w:cs="Times New Roman"/>
          <w:sz w:val="24"/>
        </w:rPr>
      </w:pPr>
      <w:r w:rsidRPr="000A0524">
        <w:rPr>
          <w:rFonts w:ascii="宋体" w:eastAsia="宋体" w:hAnsi="宋体" w:cs="Times New Roman" w:hint="eastAsia"/>
          <w:sz w:val="24"/>
        </w:rPr>
        <w:t>甲方被提起诉讼、仲裁或者立案调查，可能影响其偿债能力的；</w:t>
      </w:r>
    </w:p>
    <w:p w:rsidR="000A0524" w:rsidRPr="000A0524" w:rsidRDefault="000A0524" w:rsidP="000A0524">
      <w:pPr>
        <w:numPr>
          <w:ilvl w:val="1"/>
          <w:numId w:val="21"/>
        </w:numPr>
        <w:spacing w:line="360" w:lineRule="auto"/>
        <w:rPr>
          <w:rFonts w:ascii="宋体" w:eastAsia="宋体" w:hAnsi="宋体" w:cs="Times New Roman"/>
          <w:sz w:val="24"/>
        </w:rPr>
      </w:pPr>
      <w:r w:rsidRPr="000A0524">
        <w:rPr>
          <w:rFonts w:ascii="宋体" w:eastAsia="宋体" w:hAnsi="宋体" w:cs="Times New Roman" w:hint="eastAsia"/>
          <w:sz w:val="24"/>
        </w:rPr>
        <w:t>甲方被司法机关等有权机关限制人身自由的，可能影响其偿债能力的；</w:t>
      </w:r>
    </w:p>
    <w:p w:rsidR="000A0524" w:rsidRPr="000A0524" w:rsidRDefault="000A0524" w:rsidP="000A0524">
      <w:pPr>
        <w:numPr>
          <w:ilvl w:val="1"/>
          <w:numId w:val="21"/>
        </w:numPr>
        <w:spacing w:line="360" w:lineRule="auto"/>
        <w:rPr>
          <w:rFonts w:ascii="宋体" w:eastAsia="宋体" w:hAnsi="宋体" w:cs="Times New Roman"/>
          <w:sz w:val="24"/>
        </w:rPr>
      </w:pPr>
      <w:r w:rsidRPr="000A0524">
        <w:rPr>
          <w:rFonts w:ascii="宋体" w:eastAsia="宋体" w:hAnsi="宋体" w:cs="Times New Roman"/>
          <w:sz w:val="24"/>
        </w:rPr>
        <w:t>甲方在乙方的</w:t>
      </w:r>
      <w:r w:rsidRPr="000A0524">
        <w:rPr>
          <w:rFonts w:ascii="宋体" w:eastAsia="宋体" w:hAnsi="宋体" w:cs="Times New Roman" w:hint="eastAsia"/>
          <w:sz w:val="24"/>
        </w:rPr>
        <w:t>其他</w:t>
      </w:r>
      <w:r w:rsidRPr="000A0524">
        <w:rPr>
          <w:rFonts w:ascii="宋体" w:eastAsia="宋体" w:hAnsi="宋体" w:cs="Times New Roman"/>
          <w:sz w:val="24"/>
        </w:rPr>
        <w:t>业务（包括但不限于股票质押式回购交易、</w:t>
      </w:r>
      <w:r w:rsidRPr="000A0524">
        <w:rPr>
          <w:rFonts w:ascii="宋体" w:eastAsia="宋体" w:hAnsi="宋体" w:cs="Times New Roman" w:hint="eastAsia"/>
          <w:sz w:val="24"/>
        </w:rPr>
        <w:t>债券质押式回购、场外衍生品业务、</w:t>
      </w:r>
      <w:r w:rsidRPr="000A0524">
        <w:rPr>
          <w:rFonts w:ascii="宋体" w:eastAsia="宋体" w:hAnsi="宋体" w:cs="Times New Roman"/>
          <w:sz w:val="24"/>
        </w:rPr>
        <w:t>上市公司股权激励行权融资业务等）发生违约的；</w:t>
      </w:r>
    </w:p>
    <w:p w:rsidR="000A0524" w:rsidRPr="000A0524" w:rsidRDefault="000A0524" w:rsidP="000A0524">
      <w:pPr>
        <w:numPr>
          <w:ilvl w:val="1"/>
          <w:numId w:val="21"/>
        </w:numPr>
        <w:spacing w:line="360" w:lineRule="auto"/>
        <w:rPr>
          <w:rFonts w:ascii="宋体" w:eastAsia="宋体" w:hAnsi="宋体" w:cs="Times New Roman"/>
          <w:sz w:val="24"/>
        </w:rPr>
      </w:pPr>
      <w:r w:rsidRPr="000A0524">
        <w:rPr>
          <w:rFonts w:ascii="宋体" w:eastAsia="宋体" w:hAnsi="宋体" w:cs="Times New Roman" w:hint="eastAsia"/>
          <w:sz w:val="24"/>
        </w:rPr>
        <w:t>甲方出现其他可能影响其偿债能力的情况；</w:t>
      </w:r>
    </w:p>
    <w:p w:rsidR="000A0524" w:rsidRPr="000A0524" w:rsidRDefault="000A0524" w:rsidP="000A0524">
      <w:pPr>
        <w:numPr>
          <w:ilvl w:val="1"/>
          <w:numId w:val="21"/>
        </w:numPr>
        <w:spacing w:line="360" w:lineRule="auto"/>
        <w:rPr>
          <w:rFonts w:ascii="宋体" w:eastAsia="宋体" w:hAnsi="宋体" w:cs="Times New Roman"/>
          <w:sz w:val="24"/>
        </w:rPr>
      </w:pPr>
      <w:r w:rsidRPr="000A0524">
        <w:rPr>
          <w:rFonts w:ascii="宋体" w:eastAsia="宋体" w:hAnsi="宋体" w:cs="Times New Roman" w:hint="eastAsia"/>
          <w:sz w:val="24"/>
        </w:rPr>
        <w:t>法律、法规规定及本合同约定的其他情形。</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乙方在强制平仓时有权自由选择处置的负债类型、品种、数量及平仓顺序和时间。同时乙方有权选择乙方认为合适的价格、数量和时间进行申报，甲方对此予以认可。</w:t>
      </w:r>
    </w:p>
    <w:p w:rsidR="000A0524" w:rsidRPr="000A0524" w:rsidRDefault="000A0524" w:rsidP="000A0524">
      <w:pPr>
        <w:spacing w:line="360" w:lineRule="auto"/>
        <w:ind w:firstLineChars="200" w:firstLine="480"/>
        <w:rPr>
          <w:rFonts w:ascii="宋体" w:eastAsia="宋体" w:hAnsi="宋体" w:cs="Times New Roman"/>
          <w:sz w:val="24"/>
        </w:rPr>
      </w:pPr>
      <w:r w:rsidRPr="000A0524">
        <w:rPr>
          <w:rFonts w:ascii="宋体" w:eastAsia="宋体" w:hAnsi="宋体" w:cs="Times New Roman" w:hint="eastAsia"/>
          <w:sz w:val="24"/>
        </w:rPr>
        <w:t>乙方实施平仓时，平仓委托原则上将依据担保证券的流动性、客户持仓量占市场成交量比例和客户持仓量等情况，</w:t>
      </w:r>
      <w:r w:rsidRPr="000A0524">
        <w:rPr>
          <w:rFonts w:ascii="宋体" w:eastAsia="宋体" w:hAnsi="宋体" w:cs="Times New Roman" w:hint="eastAsia"/>
          <w:bCs/>
          <w:sz w:val="24"/>
        </w:rPr>
        <w:t>或其它有利成交的条件进行平仓；</w:t>
      </w:r>
      <w:r w:rsidRPr="000A0524">
        <w:rPr>
          <w:rFonts w:ascii="宋体" w:eastAsia="宋体" w:hAnsi="宋体" w:cs="Times New Roman" w:hint="eastAsia"/>
          <w:sz w:val="24"/>
        </w:rPr>
        <w:t>对于合约到期的强制平仓，乙方有权按照上述原则自主选择与合约标的证券相同或不同的证券进行平仓。强制平仓结果</w:t>
      </w:r>
      <w:r w:rsidRPr="000A0524">
        <w:rPr>
          <w:rFonts w:ascii="宋体" w:eastAsia="宋体" w:hAnsi="宋体" w:cs="Times New Roman" w:hint="eastAsia"/>
          <w:bCs/>
          <w:sz w:val="24"/>
        </w:rPr>
        <w:t>最终以实际成交顺序为准</w:t>
      </w:r>
      <w:r w:rsidRPr="000A0524">
        <w:rPr>
          <w:rFonts w:ascii="宋体" w:eastAsia="宋体" w:hAnsi="宋体" w:cs="Times New Roman" w:hint="eastAsia"/>
          <w:sz w:val="24"/>
        </w:rPr>
        <w:t>。</w:t>
      </w:r>
    </w:p>
    <w:p w:rsidR="000A0524" w:rsidRPr="000A0524" w:rsidRDefault="000A0524" w:rsidP="000A0524">
      <w:pPr>
        <w:spacing w:line="360" w:lineRule="auto"/>
        <w:ind w:firstLineChars="200" w:firstLine="480"/>
        <w:rPr>
          <w:rFonts w:ascii="宋体" w:eastAsia="宋体" w:hAnsi="宋体" w:cs="Times New Roman"/>
          <w:sz w:val="24"/>
        </w:rPr>
      </w:pPr>
      <w:r w:rsidRPr="000A0524">
        <w:rPr>
          <w:rFonts w:ascii="宋体" w:eastAsia="宋体" w:hAnsi="宋体" w:cs="Times New Roman" w:hint="eastAsia"/>
          <w:sz w:val="24"/>
        </w:rPr>
        <w:lastRenderedPageBreak/>
        <w:t>尽管有上述原则性约定，但甲方同意乙方基于债务人和担保物的不同状况及市场情况享有对平仓顺序的全权决定权，甲方无权就乙方</w:t>
      </w:r>
      <w:r w:rsidRPr="000A0524">
        <w:rPr>
          <w:rFonts w:ascii="宋体" w:eastAsia="宋体" w:hAnsi="宋体" w:cs="Times New Roman"/>
          <w:sz w:val="24"/>
        </w:rPr>
        <w:t>是否实施强制平仓及</w:t>
      </w:r>
      <w:r w:rsidRPr="000A0524">
        <w:rPr>
          <w:rFonts w:ascii="宋体" w:eastAsia="宋体" w:hAnsi="宋体" w:cs="Times New Roman" w:hint="eastAsia"/>
          <w:sz w:val="24"/>
        </w:rPr>
        <w:t>平仓的品种、价位、时间或数量向乙方提出任何异议或索赔。</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乙方实施平仓当日，有权限制甲方对其信用账户进行委托操作的权限。乙方实施平仓时，如遇甲方信用账户中的证券处于暂停交易或其他无法买卖的状态，乙方有权顺延强制平仓操作至交易恢复后。</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因交易规则限制、委托数量（价格）与成交数量（价格）之间存在差异，乙方在强制平仓过程中卖出证券的价款或买入证券的数量大于甲方实际的融资债务或融券债务时，甲方对此予以认可并接受该结果。甲方同意完全承担乙方根据本合同的约定对甲方信用账户所执行强制平仓的全部后果（包括但不限于：乙方执行强制平仓未成功而导致的任何后果、乙方执行强制平仓完成后而导致的任何后果等）。</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如甲方信用账户全部资产平仓后仍不足以归还甲方对乙方所负融资融券债务或乙方认为甲方信用账户中的担保物无法在短期内完成处置以偿还甲方的融资融券负债的，乙方有权向甲方继续追偿，并按本合同第八章的规定收取罚息。在本条所述情形下，甲方同意将其在乙方处开立的普通证券账户和普通资金账户内的证券和资金作为对乙方所负融资融券债务的担保，乙方有权对甲方在乙方处开立的普通证券账户和普通资金账户内的证券和资金采取限制证券或资金转出、限制交易、扣划证券或资金（包括将甲方普通证券账户和普通资金账户内的证券和资金扣划至甲方信用账户）等措施以用于偿还甲方对乙方所负的债务。</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强制平仓是乙方基于融资融券债权及本合同约定所享有的权利，乙方有权决定是否行使该权利。乙方可视具体情况，自行选择对甲方信用账户进行全部强制平仓、部分强制平仓或暂缓强制平仓，具体平仓时点、平仓限度由乙方单方决定。乙方选择部分强制平仓或暂缓强制平仓，不能视为乙方违约或本合同项下任何权利、权益的放弃，该等行为不妨碍乙方进一步实施包括全部强制平仓在内的相关权利，且甲方的偿债责任并不因此减免。</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乙方在实施强制平仓后有权决定是否解除本合同。乙方决定解除合同的，解除合同的通知按照本合同约定送达之日生效。</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lastRenderedPageBreak/>
        <w:t xml:space="preserve"> 除强制平仓外，乙方还可采取其他方式处分甲方信用账户资产用以归还甲方对乙方所负融资融券债务。</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在满足合同约定的强制平仓的条件时，乙方有权：</w:t>
      </w:r>
    </w:p>
    <w:p w:rsidR="000A0524" w:rsidRPr="000A0524" w:rsidRDefault="000A0524" w:rsidP="000A0524">
      <w:pPr>
        <w:numPr>
          <w:ilvl w:val="1"/>
          <w:numId w:val="23"/>
        </w:numPr>
        <w:spacing w:line="360" w:lineRule="auto"/>
        <w:rPr>
          <w:rFonts w:ascii="宋体" w:eastAsia="宋体" w:hAnsi="宋体" w:cs="Times New Roman"/>
          <w:sz w:val="24"/>
        </w:rPr>
      </w:pPr>
      <w:r w:rsidRPr="000A0524">
        <w:rPr>
          <w:rFonts w:ascii="宋体" w:eastAsia="宋体" w:hAnsi="宋体" w:cs="Times New Roman" w:hint="eastAsia"/>
          <w:sz w:val="24"/>
        </w:rPr>
        <w:t>宣布甲方所有未到期的融资融券交易提前到期；</w:t>
      </w:r>
    </w:p>
    <w:p w:rsidR="000A0524" w:rsidRPr="000A0524" w:rsidRDefault="000A0524" w:rsidP="000A0524">
      <w:pPr>
        <w:numPr>
          <w:ilvl w:val="1"/>
          <w:numId w:val="23"/>
        </w:numPr>
        <w:spacing w:line="360" w:lineRule="auto"/>
        <w:rPr>
          <w:rFonts w:ascii="宋体" w:eastAsia="宋体" w:hAnsi="宋体" w:cs="Times New Roman"/>
          <w:sz w:val="24"/>
        </w:rPr>
      </w:pPr>
      <w:r w:rsidRPr="000A0524">
        <w:rPr>
          <w:rFonts w:ascii="宋体" w:eastAsia="宋体" w:hAnsi="宋体" w:cs="Times New Roman" w:hint="eastAsia"/>
          <w:sz w:val="24"/>
        </w:rPr>
        <w:t>将甲方信用账户中的证券强制卖出，并将卖出所得资金直接划至乙方账户，用于清偿甲方所欠乙方的债务；</w:t>
      </w:r>
    </w:p>
    <w:p w:rsidR="000A0524" w:rsidRPr="000A0524" w:rsidRDefault="000A0524" w:rsidP="000A0524">
      <w:pPr>
        <w:numPr>
          <w:ilvl w:val="1"/>
          <w:numId w:val="23"/>
        </w:numPr>
        <w:spacing w:line="360" w:lineRule="auto"/>
        <w:rPr>
          <w:rFonts w:ascii="宋体" w:eastAsia="宋体" w:hAnsi="宋体" w:cs="Times New Roman"/>
          <w:sz w:val="24"/>
        </w:rPr>
      </w:pPr>
      <w:r w:rsidRPr="000A0524">
        <w:rPr>
          <w:rFonts w:ascii="宋体" w:eastAsia="宋体" w:hAnsi="宋体" w:cs="Times New Roman" w:hint="eastAsia"/>
          <w:sz w:val="24"/>
        </w:rPr>
        <w:t>将甲方信用账户中的资金直接划至乙方账户，用于清偿甲方所欠乙方的债务；</w:t>
      </w:r>
    </w:p>
    <w:p w:rsidR="000A0524" w:rsidRPr="000A0524" w:rsidRDefault="000A0524" w:rsidP="000A0524">
      <w:pPr>
        <w:numPr>
          <w:ilvl w:val="1"/>
          <w:numId w:val="2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使用甲方信用账户中的资金强制买入甲方所欠乙方的证券，并将买入的证券直接划至乙方账户，用于清偿甲方所欠乙方的证券；</w:t>
      </w:r>
    </w:p>
    <w:p w:rsidR="000A0524" w:rsidRPr="000A0524" w:rsidRDefault="000A0524" w:rsidP="000A0524">
      <w:pPr>
        <w:numPr>
          <w:ilvl w:val="1"/>
          <w:numId w:val="2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将甲方信用证券账户中的证券强制卖出，再将卖出所得资金强制买入甲方所欠乙方的证券，并将买入的证券直接划至乙方账户，用于清偿甲方所欠乙方的证券。</w:t>
      </w:r>
    </w:p>
    <w:p w:rsidR="000A0524" w:rsidRPr="000A0524" w:rsidRDefault="000A0524" w:rsidP="000A0524">
      <w:pPr>
        <w:spacing w:line="360" w:lineRule="auto"/>
        <w:jc w:val="center"/>
        <w:rPr>
          <w:rFonts w:ascii="宋体" w:eastAsia="宋体" w:hAnsi="宋体" w:cs="Times New Roman"/>
          <w:b/>
          <w:sz w:val="24"/>
        </w:rPr>
      </w:pPr>
    </w:p>
    <w:p w:rsidR="000A0524" w:rsidRPr="000A0524" w:rsidRDefault="000A0524" w:rsidP="000A0524">
      <w:pPr>
        <w:spacing w:line="360" w:lineRule="auto"/>
        <w:jc w:val="center"/>
        <w:rPr>
          <w:rFonts w:ascii="宋体" w:eastAsia="宋体" w:hAnsi="宋体" w:cs="Times New Roman"/>
          <w:b/>
          <w:sz w:val="24"/>
        </w:rPr>
      </w:pPr>
      <w:r w:rsidRPr="000A0524">
        <w:rPr>
          <w:rFonts w:ascii="宋体" w:eastAsia="宋体" w:hAnsi="宋体" w:cs="Times New Roman" w:hint="eastAsia"/>
          <w:b/>
          <w:sz w:val="24"/>
        </w:rPr>
        <w:t>第十二章  特殊情况处理</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在融资融券业务合同期内，当担保证券出现范围调整、停牌、终止上市、折算率调整、按公允价值调整证券价值等情况的，在该等情形发生前未了结的融资融券交易仍然有效，但乙方有权据此调整和计算甲方信用账户维持担保比例，甲方应确保其信用账户维持担保比例在平仓线以上。</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甲方向乙方提供的担保证券被调整出担保证券范围的，则自该证券被证券交易所或者乙方调整出担保证券范围之日起，</w:t>
      </w:r>
      <w:r w:rsidRPr="000A0524">
        <w:rPr>
          <w:rFonts w:ascii="宋体" w:eastAsia="宋体" w:hAnsi="宋体" w:cs="Times New Roman"/>
          <w:sz w:val="24"/>
        </w:rPr>
        <w:t>乙方有权对上述</w:t>
      </w:r>
      <w:r w:rsidRPr="000A0524">
        <w:rPr>
          <w:rFonts w:ascii="宋体" w:eastAsia="宋体" w:hAnsi="宋体" w:cs="Times New Roman" w:hint="eastAsia"/>
          <w:sz w:val="24"/>
        </w:rPr>
        <w:t>证券市值不再纳入甲方的保证金金额和维持担保比例的</w:t>
      </w:r>
      <w:r w:rsidRPr="000A0524">
        <w:rPr>
          <w:rFonts w:ascii="宋体" w:eastAsia="宋体" w:hAnsi="宋体" w:cs="Times New Roman"/>
          <w:sz w:val="24"/>
        </w:rPr>
        <w:t>计算范围</w:t>
      </w:r>
      <w:r w:rsidRPr="000A0524">
        <w:rPr>
          <w:rFonts w:ascii="宋体" w:eastAsia="宋体" w:hAnsi="宋体" w:cs="Times New Roman" w:hint="eastAsia"/>
          <w:sz w:val="24"/>
        </w:rPr>
        <w:t xml:space="preserve">，但在甲方将该证券转出其信用证券账户之前，该证券仍为甲方向乙方提供的担保物，甲方在将该证券转出信用账户时也须满足相应维持担保比例以及证券集中度等要求。 </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在融资融券业务合同期内，当标的证券、担保证券停牌的，按以下方式计算折算率和价值：</w:t>
      </w:r>
    </w:p>
    <w:p w:rsidR="000A0524" w:rsidRPr="000A0524" w:rsidRDefault="000A0524" w:rsidP="000A0524">
      <w:pPr>
        <w:numPr>
          <w:ilvl w:val="0"/>
          <w:numId w:val="16"/>
        </w:numPr>
        <w:spacing w:line="360" w:lineRule="auto"/>
        <w:rPr>
          <w:rFonts w:ascii="宋体" w:eastAsia="宋体" w:hAnsi="宋体" w:cs="Times New Roman"/>
          <w:sz w:val="24"/>
        </w:rPr>
      </w:pPr>
      <w:r w:rsidRPr="000A0524">
        <w:rPr>
          <w:rFonts w:ascii="宋体" w:eastAsia="宋体" w:hAnsi="宋体" w:cs="Times New Roman" w:hint="eastAsia"/>
          <w:sz w:val="24"/>
        </w:rPr>
        <w:t>标的证券、担保证券连续停牌在5个交易日以下（含5日）的折算率不作调整，按该只证券停牌前一交易日收盘价计算该只担保证券市值，并据此根据交易所规定的计算公式计算信用账户的保证金可用余额和维持担保比例。</w:t>
      </w:r>
    </w:p>
    <w:p w:rsidR="000A0524" w:rsidRPr="000A0524" w:rsidRDefault="000A0524" w:rsidP="000A0524">
      <w:pPr>
        <w:numPr>
          <w:ilvl w:val="0"/>
          <w:numId w:val="16"/>
        </w:numPr>
        <w:spacing w:line="360" w:lineRule="auto"/>
        <w:rPr>
          <w:rFonts w:ascii="宋体" w:eastAsia="宋体" w:hAnsi="宋体" w:cs="Times New Roman"/>
          <w:sz w:val="24"/>
        </w:rPr>
      </w:pPr>
      <w:r w:rsidRPr="000A0524">
        <w:rPr>
          <w:rFonts w:ascii="宋体" w:eastAsia="宋体" w:hAnsi="宋体" w:cs="Times New Roman" w:hint="eastAsia"/>
          <w:sz w:val="24"/>
        </w:rPr>
        <w:lastRenderedPageBreak/>
        <w:t>标的证券、担保证券连续停牌5个交易日以上、30个交易日（含30日）以内的，自停牌6个交易日起乙方将折算率按公式max(最终折算率-10%，30%)调整，按该只证券停牌前一交易日收盘价计算该证券市值，并据此根据交易所规定的计算公式计算信用账户的保证金可用余额和维持担保比例。</w:t>
      </w:r>
    </w:p>
    <w:p w:rsidR="000A0524" w:rsidRPr="000A0524" w:rsidRDefault="000A0524" w:rsidP="000A0524">
      <w:pPr>
        <w:numPr>
          <w:ilvl w:val="0"/>
          <w:numId w:val="16"/>
        </w:numPr>
        <w:spacing w:line="360" w:lineRule="auto"/>
        <w:ind w:firstLine="485"/>
        <w:rPr>
          <w:rFonts w:ascii="宋体" w:eastAsia="宋体" w:hAnsi="宋体" w:cs="Times New Roman"/>
          <w:sz w:val="24"/>
        </w:rPr>
      </w:pPr>
      <w:r w:rsidRPr="000A0524">
        <w:rPr>
          <w:rFonts w:ascii="宋体" w:eastAsia="宋体" w:hAnsi="宋体" w:cs="Times New Roman" w:hint="eastAsia"/>
          <w:sz w:val="24"/>
        </w:rPr>
        <w:t>标的证券、担保证券连续停牌</w:t>
      </w:r>
      <w:r w:rsidRPr="000A0524">
        <w:rPr>
          <w:rFonts w:ascii="宋体" w:eastAsia="宋体" w:hAnsi="宋体" w:cs="Times New Roman"/>
          <w:sz w:val="24"/>
        </w:rPr>
        <w:t>30</w:t>
      </w:r>
      <w:r w:rsidRPr="000A0524">
        <w:rPr>
          <w:rFonts w:ascii="宋体" w:eastAsia="宋体" w:hAnsi="宋体" w:cs="Times New Roman" w:hint="eastAsia"/>
          <w:sz w:val="24"/>
        </w:rPr>
        <w:t>个交易日以上的，乙方将自停牌</w:t>
      </w:r>
      <w:r w:rsidRPr="000A0524">
        <w:rPr>
          <w:rFonts w:ascii="宋体" w:eastAsia="宋体" w:hAnsi="宋体" w:cs="Times New Roman"/>
          <w:sz w:val="24"/>
        </w:rPr>
        <w:t>31</w:t>
      </w:r>
      <w:r w:rsidRPr="000A0524">
        <w:rPr>
          <w:rFonts w:ascii="宋体" w:eastAsia="宋体" w:hAnsi="宋体" w:cs="Times New Roman" w:hint="eastAsia"/>
          <w:sz w:val="24"/>
        </w:rPr>
        <w:t>个交易日起折算率调整为</w:t>
      </w:r>
      <w:r w:rsidRPr="000A0524">
        <w:rPr>
          <w:rFonts w:ascii="宋体" w:eastAsia="宋体" w:hAnsi="宋体" w:cs="Times New Roman"/>
          <w:sz w:val="24"/>
        </w:rPr>
        <w:t>30%</w:t>
      </w:r>
      <w:r w:rsidRPr="000A0524">
        <w:rPr>
          <w:rFonts w:ascii="宋体" w:eastAsia="宋体" w:hAnsi="宋体" w:cs="Times New Roman" w:hint="eastAsia"/>
          <w:sz w:val="24"/>
        </w:rPr>
        <w:t>。按该只证券停牌前一交易日收盘价计算该证券市值，但乙方有权根据实际情况按公允价值调整计算该证券市值，并据此根据交易所规定的计算公式计算信用账户的保证金可用余额和维持担保比例。</w:t>
      </w:r>
    </w:p>
    <w:p w:rsidR="000A0524" w:rsidRPr="000A0524" w:rsidRDefault="000A0524" w:rsidP="000A0524">
      <w:pPr>
        <w:numPr>
          <w:ilvl w:val="0"/>
          <w:numId w:val="16"/>
        </w:numPr>
        <w:spacing w:line="360" w:lineRule="auto"/>
        <w:rPr>
          <w:rFonts w:ascii="宋体" w:eastAsia="宋体" w:hAnsi="宋体" w:cs="Times New Roman"/>
          <w:sz w:val="24"/>
        </w:rPr>
      </w:pPr>
      <w:r w:rsidRPr="000A0524">
        <w:rPr>
          <w:rFonts w:ascii="宋体" w:eastAsia="宋体" w:hAnsi="宋体" w:cs="Times New Roman" w:hint="eastAsia"/>
          <w:sz w:val="24"/>
        </w:rPr>
        <w:t>上述情形下：股票公允价值均按照中基协基金估值行业分类指数（简称“AMAC行业指数”），以停牌前最后1个交易日收盘价为基准，计算股票在与指数同样收益率情况下的价值；基金公允价值以停牌前最后1个交易日收盘价为基准，计算基金在与沪深300指数同样收益率情况下的价值；债券公允价值以停牌前最后1个交易日收盘价为基准，若是国债则计算国债在与上证国债指数同样收益率情况下的价值，若是非国债债券品种则计算此债券在与上证企债指数同样收益率情况下的价值。</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在融资融券业务合同期内，标的证券范围调整或终止上市的，乙方将限制甲方进行非标的证券的融资融券新开仓交易。</w:t>
      </w:r>
      <w:r w:rsidRPr="000A0524">
        <w:rPr>
          <w:rFonts w:ascii="宋体" w:eastAsia="宋体" w:hAnsi="宋体" w:cs="Times New Roman"/>
          <w:sz w:val="24"/>
        </w:rPr>
        <w:t>在调整实施前未了结的融资融券</w:t>
      </w:r>
      <w:r w:rsidRPr="000A0524">
        <w:rPr>
          <w:rFonts w:ascii="宋体" w:eastAsia="宋体" w:hAnsi="宋体" w:cs="Times New Roman" w:hint="eastAsia"/>
          <w:sz w:val="24"/>
        </w:rPr>
        <w:t>交易</w:t>
      </w:r>
      <w:r w:rsidRPr="000A0524">
        <w:rPr>
          <w:rFonts w:ascii="宋体" w:eastAsia="宋体" w:hAnsi="宋体" w:cs="Times New Roman"/>
          <w:sz w:val="24"/>
        </w:rPr>
        <w:t>仍然有效</w:t>
      </w:r>
      <w:r w:rsidRPr="000A0524">
        <w:rPr>
          <w:rFonts w:ascii="宋体" w:eastAsia="宋体" w:hAnsi="宋体" w:cs="Times New Roman" w:hint="eastAsia"/>
          <w:sz w:val="24"/>
        </w:rPr>
        <w:t>。如甲方已经融资买入、融券卖出的证券终止上市，且该证券</w:t>
      </w:r>
      <w:r w:rsidRPr="000A0524">
        <w:rPr>
          <w:rFonts w:ascii="宋体" w:eastAsia="宋体" w:hAnsi="宋体" w:cs="Times New Roman"/>
          <w:sz w:val="24"/>
        </w:rPr>
        <w:t>最后交易日在融资融券债务到期日之前的</w:t>
      </w:r>
      <w:r w:rsidRPr="000A0524">
        <w:rPr>
          <w:rFonts w:ascii="宋体" w:eastAsia="宋体" w:hAnsi="宋体" w:cs="Times New Roman" w:hint="eastAsia"/>
          <w:sz w:val="24"/>
        </w:rPr>
        <w:t>，乙方</w:t>
      </w:r>
      <w:r w:rsidRPr="000A0524">
        <w:rPr>
          <w:rFonts w:ascii="宋体" w:eastAsia="宋体" w:hAnsi="宋体" w:cs="Times New Roman"/>
          <w:sz w:val="24"/>
        </w:rPr>
        <w:t>有权将融资融券的期限缩短至以下时间孰早的日期：</w:t>
      </w:r>
      <w:r w:rsidRPr="000A0524">
        <w:rPr>
          <w:rFonts w:ascii="宋体" w:eastAsia="宋体" w:hAnsi="宋体" w:cs="Times New Roman" w:hint="eastAsia"/>
          <w:sz w:val="24"/>
        </w:rPr>
        <w:t>终止上市公告之日（T日）之后两个交易日（T+2日）、该只</w:t>
      </w:r>
      <w:r w:rsidRPr="000A0524">
        <w:rPr>
          <w:rFonts w:ascii="宋体" w:eastAsia="宋体" w:hAnsi="宋体" w:cs="Times New Roman"/>
          <w:sz w:val="24"/>
        </w:rPr>
        <w:t>证券最后交易日的前一交易日，</w:t>
      </w:r>
      <w:r w:rsidRPr="000A0524">
        <w:rPr>
          <w:rFonts w:ascii="宋体" w:eastAsia="宋体" w:hAnsi="宋体" w:cs="Times New Roman" w:hint="eastAsia"/>
          <w:sz w:val="24"/>
        </w:rPr>
        <w:t>甲方应在上述日期前提前了结该证券的融资、融券负债；否则，乙方有权自上述偿还日的下一交易日起对甲方信用账户进行强制平仓直至了结该证券全部融资、融券合约。</w:t>
      </w:r>
      <w:r w:rsidRPr="000A0524" w:rsidDel="0053640C">
        <w:rPr>
          <w:rFonts w:ascii="宋体" w:eastAsia="宋体" w:hAnsi="宋体" w:cs="Times New Roman" w:hint="eastAsia"/>
          <w:sz w:val="24"/>
        </w:rPr>
        <w:t xml:space="preserve"> </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Calibri" w:eastAsia="宋体" w:hAnsi="Calibri" w:cs="Times New Roman" w:hint="eastAsia"/>
          <w:sz w:val="24"/>
          <w:szCs w:val="24"/>
        </w:rPr>
        <w:t xml:space="preserve">  </w:t>
      </w:r>
      <w:r w:rsidRPr="000A0524">
        <w:rPr>
          <w:rFonts w:ascii="宋体" w:eastAsia="宋体" w:hAnsi="宋体" w:cs="Times New Roman" w:hint="eastAsia"/>
          <w:sz w:val="24"/>
        </w:rPr>
        <w:t>在融资融券业务合同期内，标的证券停牌的，且复牌交易日在融资融券债务到期日之后的，甲方可向乙方申请该笔融资融券合约顺延。具体顺延期限以乙方最终确认为准，但在任何情况下复牌后的顺延期限与停牌前已发生融资期限相加不得超过期限6个月。</w:t>
      </w:r>
    </w:p>
    <w:p w:rsidR="000A0524" w:rsidRPr="000A0524" w:rsidRDefault="000A0524" w:rsidP="000A0524">
      <w:pPr>
        <w:spacing w:line="360" w:lineRule="auto"/>
        <w:ind w:firstLineChars="200" w:firstLine="480"/>
        <w:jc w:val="left"/>
        <w:rPr>
          <w:rFonts w:ascii="宋体" w:eastAsia="宋体" w:hAnsi="宋体" w:cs="Times New Roman"/>
          <w:sz w:val="24"/>
        </w:rPr>
      </w:pPr>
      <w:r w:rsidRPr="000A0524">
        <w:rPr>
          <w:rFonts w:ascii="宋体" w:eastAsia="宋体" w:hAnsi="宋体" w:cs="Times New Roman" w:hint="eastAsia"/>
          <w:sz w:val="24"/>
        </w:rPr>
        <w:t>顺延期限届满当日，甲方应足额清偿债务。如无法确定复牌交易日或者顺延期满，融券债务因标的证券仍然暂停交易无法买券还券的，乙方可要求甲方</w:t>
      </w:r>
      <w:r w:rsidRPr="000A0524">
        <w:rPr>
          <w:rFonts w:ascii="宋体" w:eastAsia="宋体" w:hAnsi="宋体" w:cs="Times New Roman" w:hint="eastAsia"/>
          <w:sz w:val="24"/>
        </w:rPr>
        <w:lastRenderedPageBreak/>
        <w:t>采取现金了结形式偿还债务。采取现金方式了结融券债务的，根据证券交易所或者证券交易所认可的指数编制机构编制发布的股票行业指数计算该证券的公允价值。</w:t>
      </w:r>
    </w:p>
    <w:p w:rsidR="000A0524" w:rsidRPr="000A0524" w:rsidRDefault="000A0524" w:rsidP="000A0524">
      <w:pPr>
        <w:spacing w:line="360" w:lineRule="auto"/>
        <w:ind w:firstLineChars="200" w:firstLine="480"/>
        <w:jc w:val="left"/>
        <w:rPr>
          <w:rFonts w:ascii="宋体" w:eastAsia="宋体" w:hAnsi="宋体" w:cs="Times New Roman"/>
          <w:sz w:val="24"/>
        </w:rPr>
      </w:pPr>
      <w:r w:rsidRPr="000A0524">
        <w:rPr>
          <w:rFonts w:ascii="宋体" w:eastAsia="宋体" w:hAnsi="宋体" w:cs="Times New Roman" w:hint="eastAsia"/>
          <w:sz w:val="24"/>
        </w:rPr>
        <w:t xml:space="preserve">公允价值的计算公式为：公允价值=标的证券停牌前一交易日收盘价×（现金了结日前一交易日该标的证券对应的股票行业指数/停牌前一交易日该标的证券对应的股票行业指数）×证券数量。 </w:t>
      </w:r>
    </w:p>
    <w:p w:rsidR="000A0524" w:rsidRPr="000A0524" w:rsidRDefault="000A0524" w:rsidP="000A0524">
      <w:pPr>
        <w:spacing w:line="360" w:lineRule="auto"/>
        <w:ind w:firstLineChars="200" w:firstLine="480"/>
        <w:jc w:val="left"/>
        <w:rPr>
          <w:rFonts w:ascii="宋体" w:eastAsia="宋体" w:hAnsi="宋体" w:cs="Times New Roman"/>
          <w:sz w:val="24"/>
        </w:rPr>
      </w:pPr>
      <w:r w:rsidRPr="000A0524">
        <w:rPr>
          <w:rFonts w:ascii="宋体" w:eastAsia="宋体" w:hAnsi="宋体" w:cs="Times New Roman" w:hint="eastAsia"/>
          <w:sz w:val="24"/>
        </w:rPr>
        <w:t>甲方若到期未转入现金替代还券的，将进入乙方强制平仓程序，若无法平仓或甲方担保物被全部平仓后仍不足以偿还甲方对乙方所负债务的，乙方有权向甲方继续追索。</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当乙方被取消或限制融资融券交易权限，乙方以双方约定的方式通知甲方，甲方需在规定期限内提前偿还债务，了结相关融资融券交易。若甲方未在规定期限内提前偿还负债，乙方有权对甲方信用账户进行强制平仓。</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w:t>
      </w:r>
      <w:r w:rsidRPr="000A0524">
        <w:rPr>
          <w:rFonts w:ascii="宋体" w:eastAsia="宋体" w:hAnsi="宋体" w:cs="Times New Roman"/>
          <w:sz w:val="24"/>
        </w:rPr>
        <w:t xml:space="preserve"> </w:t>
      </w:r>
      <w:r w:rsidRPr="000A0524">
        <w:rPr>
          <w:rFonts w:ascii="宋体" w:eastAsia="宋体" w:hAnsi="宋体" w:cs="Times New Roman" w:hint="eastAsia"/>
          <w:sz w:val="24"/>
        </w:rPr>
        <w:t>证券交易所或乙方对维持担保比例的阈值进行调整，如果由此导致甲方信用账户的维持担保比例低于平仓线时，乙方有权根据本合同第十章的约定要求甲方追加担保物。如果导致已满足强制平仓的条件，乙方有权进行强制平仓。</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甲方的信用证券账户中的担保证券进入终止上市程序的，甲方应当在了结相关融资融券交易后，申请将有关证券从乙方客户信用交易担保证券账户划转到甲方的普通证券账户中，由证券登记结算公司按照现行方式办理退市登记等相关手续。</w:t>
      </w:r>
    </w:p>
    <w:p w:rsidR="000A0524" w:rsidRPr="000A0524" w:rsidRDefault="000A0524" w:rsidP="000A0524">
      <w:pPr>
        <w:spacing w:line="360" w:lineRule="auto"/>
        <w:rPr>
          <w:rFonts w:ascii="宋体" w:eastAsia="宋体" w:hAnsi="宋体" w:cs="Times New Roman"/>
          <w:b/>
          <w:sz w:val="24"/>
        </w:rPr>
      </w:pPr>
    </w:p>
    <w:p w:rsidR="000A0524" w:rsidRPr="000A0524" w:rsidRDefault="000A0524" w:rsidP="000A0524">
      <w:pPr>
        <w:spacing w:line="360" w:lineRule="auto"/>
        <w:jc w:val="center"/>
        <w:rPr>
          <w:rFonts w:ascii="宋体" w:eastAsia="宋体" w:hAnsi="宋体" w:cs="Times New Roman"/>
          <w:b/>
          <w:sz w:val="24"/>
        </w:rPr>
      </w:pPr>
      <w:r w:rsidRPr="000A0524">
        <w:rPr>
          <w:rFonts w:ascii="宋体" w:eastAsia="宋体" w:hAnsi="宋体" w:cs="Times New Roman" w:hint="eastAsia"/>
          <w:b/>
          <w:sz w:val="24"/>
        </w:rPr>
        <w:t>第十三章  权益处理</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甲方信用证券账户内的证券在融资融券交易结束前派生的收益作为法定孳息，直接成为担保物并由乙方记入甲方的信用账户。若证券发行人请求召开证券持有人会议、参加证券持有人会议、提案、表决、配售股份的认购、请求分配投资收益等因持有证券而产生的权利的，乙方通过乙方交易系统或书面方式收集甲方意见后，乙方以自己的名义为甲方的利益，按“中国中金财富证券有限公司客户信用交易担保证券账户”记录的证券，行使对证券发行人的权利。</w:t>
      </w:r>
    </w:p>
    <w:p w:rsidR="000A0524" w:rsidRPr="000A0524" w:rsidRDefault="000A0524" w:rsidP="000A0524">
      <w:pPr>
        <w:numPr>
          <w:ilvl w:val="0"/>
          <w:numId w:val="4"/>
        </w:numPr>
        <w:spacing w:line="360" w:lineRule="auto"/>
        <w:rPr>
          <w:rFonts w:ascii="宋体" w:eastAsia="宋体" w:hAnsi="宋体" w:cs="Times New Roman"/>
          <w:sz w:val="24"/>
        </w:rPr>
      </w:pPr>
      <w:r w:rsidRPr="000A0524">
        <w:rPr>
          <w:rFonts w:ascii="宋体" w:eastAsia="宋体" w:hAnsi="宋体" w:cs="Times New Roman" w:hint="eastAsia"/>
          <w:sz w:val="24"/>
        </w:rPr>
        <w:t>甲方信用证券账户内的证券涉及投票权的，甲方应于投票日1</w:t>
      </w:r>
      <w:r w:rsidRPr="000A0524">
        <w:rPr>
          <w:rFonts w:ascii="宋体" w:eastAsia="宋体" w:hAnsi="宋体" w:cs="Times New Roman"/>
          <w:sz w:val="24"/>
        </w:rPr>
        <w:t>1</w:t>
      </w:r>
      <w:r w:rsidRPr="000A0524">
        <w:rPr>
          <w:rFonts w:ascii="宋体" w:eastAsia="宋体" w:hAnsi="宋体" w:cs="Times New Roman" w:hint="eastAsia"/>
          <w:sz w:val="24"/>
        </w:rPr>
        <w:t>:30前</w:t>
      </w:r>
      <w:r w:rsidRPr="000A0524">
        <w:rPr>
          <w:rFonts w:ascii="宋体" w:eastAsia="宋体" w:hAnsi="宋体" w:cs="Times New Roman" w:hint="eastAsia"/>
          <w:sz w:val="24"/>
        </w:rPr>
        <w:lastRenderedPageBreak/>
        <w:t>通过乙方交易系统或向乙方出具书面申请方式发表投票意见，乙方以证券发行人提供的投票方式代甲方行使投票权；如甲方与上市公司审议事项存在关联关系，甲方应当在征求意见阶段向乙方说明，并严格遵守有关法律法规关于投票回避的规定，否则乙方有权拒绝按甲方的意见进行投票。为了及时汇总投票结果，甲方应于投票日11:30前完成投票，否则乙方将视为甲方放弃投票。</w:t>
      </w:r>
    </w:p>
    <w:p w:rsidR="000A0524" w:rsidRPr="000A0524" w:rsidRDefault="000A0524" w:rsidP="000A0524">
      <w:pPr>
        <w:numPr>
          <w:ilvl w:val="0"/>
          <w:numId w:val="4"/>
        </w:numPr>
        <w:spacing w:line="360" w:lineRule="auto"/>
        <w:rPr>
          <w:rFonts w:ascii="宋体" w:eastAsia="宋体" w:hAnsi="宋体" w:cs="Times New Roman"/>
          <w:sz w:val="24"/>
        </w:rPr>
      </w:pPr>
      <w:r w:rsidRPr="000A0524">
        <w:rPr>
          <w:rFonts w:ascii="宋体" w:eastAsia="宋体" w:hAnsi="宋体" w:cs="Times New Roman" w:hint="eastAsia"/>
          <w:sz w:val="24"/>
        </w:rPr>
        <w:t>甲方信用证券账户内涉及以现金形式分配投资收益的，由证券登记结算机构将分派的资金划入“中国中金财富证券有限公司客户信用交易资金交收账户”，乙方在现金红利到账后，通知商业银行对甲方信用资金账户的明细数据进行变更。</w:t>
      </w:r>
    </w:p>
    <w:p w:rsidR="000A0524" w:rsidRPr="000A0524" w:rsidRDefault="000A0524" w:rsidP="000A0524">
      <w:pPr>
        <w:numPr>
          <w:ilvl w:val="0"/>
          <w:numId w:val="4"/>
        </w:numPr>
        <w:spacing w:line="360" w:lineRule="auto"/>
        <w:rPr>
          <w:rFonts w:ascii="宋体" w:eastAsia="宋体" w:hAnsi="宋体" w:cs="Times New Roman"/>
          <w:sz w:val="24"/>
        </w:rPr>
      </w:pPr>
      <w:r w:rsidRPr="000A0524">
        <w:rPr>
          <w:rFonts w:ascii="宋体" w:eastAsia="宋体" w:hAnsi="宋体" w:cs="Times New Roman" w:hint="eastAsia"/>
          <w:sz w:val="24"/>
        </w:rPr>
        <w:t>甲方信用证券账户内涉及以证券形式分配投资收益的，分派的证券记录在“中国中金财富证券有限公司客户信用交易担保证券账户”内，并相应变更甲方信用证券账户的明细数据。</w:t>
      </w:r>
    </w:p>
    <w:p w:rsidR="000A0524" w:rsidRPr="000A0524" w:rsidRDefault="000A0524" w:rsidP="000A0524">
      <w:pPr>
        <w:numPr>
          <w:ilvl w:val="0"/>
          <w:numId w:val="4"/>
        </w:numPr>
        <w:spacing w:line="360" w:lineRule="auto"/>
        <w:rPr>
          <w:rFonts w:ascii="宋体" w:eastAsia="宋体" w:hAnsi="宋体" w:cs="Times New Roman"/>
          <w:sz w:val="24"/>
        </w:rPr>
      </w:pPr>
      <w:r w:rsidRPr="000A0524">
        <w:rPr>
          <w:rFonts w:ascii="宋体" w:eastAsia="宋体" w:hAnsi="宋体" w:cs="Times New Roman" w:hint="eastAsia"/>
          <w:sz w:val="24"/>
        </w:rPr>
        <w:t>甲方信用证券账户内的证券涉及配股、增发、可转债等上市公司给予原股东配售或优先认购相应证券的权益的，甲方通过乙方交易系统进行认购缴款和配售委托操作。对于证券发行采取市值配售发行方式的，甲方信用证券账户的明细数据纳入其对应市值的计算。在满足乙方适当性要求的前提下，甲方根据认购意愿缴纳认购款，可以直接通过甲方信用账户发出认购、配售委托。</w:t>
      </w:r>
    </w:p>
    <w:p w:rsidR="000A0524" w:rsidRPr="000A0524" w:rsidRDefault="000A0524" w:rsidP="000A0524">
      <w:pPr>
        <w:numPr>
          <w:ilvl w:val="0"/>
          <w:numId w:val="4"/>
        </w:numPr>
        <w:spacing w:line="360" w:lineRule="auto"/>
        <w:rPr>
          <w:rFonts w:ascii="宋体" w:eastAsia="宋体" w:hAnsi="宋体" w:cs="Times New Roman"/>
          <w:sz w:val="24"/>
        </w:rPr>
      </w:pPr>
      <w:r w:rsidRPr="000A0524">
        <w:rPr>
          <w:rFonts w:ascii="宋体" w:eastAsia="宋体" w:hAnsi="宋体" w:cs="Times New Roman" w:hint="eastAsia"/>
          <w:sz w:val="24"/>
        </w:rPr>
        <w:t>甲方信用证券账户内的证券需转入甲方普通证券账户才能申报预受要约。甲方在保证证券转出后其信用账户维持担保比例不得低于300%，方可向乙方</w:t>
      </w:r>
      <w:r w:rsidRPr="000A0524">
        <w:rPr>
          <w:rFonts w:ascii="宋体" w:eastAsia="宋体" w:hAnsi="宋体" w:cs="Times New Roman"/>
          <w:sz w:val="24"/>
        </w:rPr>
        <w:t>申请将担保证券从</w:t>
      </w:r>
      <w:r w:rsidRPr="000A0524">
        <w:rPr>
          <w:rFonts w:ascii="宋体" w:eastAsia="宋体" w:hAnsi="宋体" w:cs="Times New Roman" w:hint="eastAsia"/>
          <w:sz w:val="24"/>
        </w:rPr>
        <w:t>甲方</w:t>
      </w:r>
      <w:r w:rsidRPr="000A0524">
        <w:rPr>
          <w:rFonts w:ascii="宋体" w:eastAsia="宋体" w:hAnsi="宋体" w:cs="Times New Roman"/>
          <w:sz w:val="24"/>
        </w:rPr>
        <w:t>信用证券账户划转</w:t>
      </w:r>
      <w:r w:rsidRPr="000A0524">
        <w:rPr>
          <w:rFonts w:ascii="宋体" w:eastAsia="宋体" w:hAnsi="宋体" w:cs="Times New Roman" w:hint="eastAsia"/>
          <w:sz w:val="24"/>
        </w:rPr>
        <w:t>至</w:t>
      </w:r>
      <w:r w:rsidRPr="000A0524">
        <w:rPr>
          <w:rFonts w:ascii="宋体" w:eastAsia="宋体" w:hAnsi="宋体" w:cs="Times New Roman"/>
          <w:sz w:val="24"/>
        </w:rPr>
        <w:t>其普通证券账户中，并通过其普通证券账户申报预受要约。</w:t>
      </w:r>
      <w:r w:rsidRPr="000A0524">
        <w:rPr>
          <w:rFonts w:ascii="宋体" w:eastAsia="宋体" w:hAnsi="宋体" w:cs="Times New Roman" w:hint="eastAsia"/>
          <w:sz w:val="24"/>
        </w:rPr>
        <w:t>甲方不得通过信用证券账户申报预受要约，乙方有权拒绝甲方信用证券账户的预受要约申报。</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甲方融券卖出，偿还融券前，证券发行人分配投资收益、向证券持有人配售或无偿派发证券、发行证券持有人有优先认购权的证券等权益时，按以下方式处理：</w:t>
      </w:r>
    </w:p>
    <w:p w:rsidR="000A0524" w:rsidRPr="000A0524" w:rsidRDefault="000A0524" w:rsidP="000A0524">
      <w:pPr>
        <w:numPr>
          <w:ilvl w:val="0"/>
          <w:numId w:val="5"/>
        </w:numPr>
        <w:spacing w:line="360" w:lineRule="auto"/>
        <w:rPr>
          <w:rFonts w:ascii="宋体" w:eastAsia="宋体" w:hAnsi="宋体" w:cs="Times New Roman"/>
          <w:sz w:val="24"/>
        </w:rPr>
      </w:pPr>
      <w:r w:rsidRPr="000A0524">
        <w:rPr>
          <w:rFonts w:ascii="宋体" w:eastAsia="宋体" w:hAnsi="宋体" w:cs="Times New Roman" w:hint="eastAsia"/>
          <w:sz w:val="24"/>
        </w:rPr>
        <w:t>证券发行人派发现金红利的，甲方应向乙方补偿相应的现金红利，乙方在现金红利发放日进行扣收，若扣收不成功则乙方将增加甲方负债金额，甲方需按融资利率支付利息。</w:t>
      </w:r>
    </w:p>
    <w:p w:rsidR="000A0524" w:rsidRPr="000A0524" w:rsidRDefault="000A0524" w:rsidP="000A0524">
      <w:pPr>
        <w:numPr>
          <w:ilvl w:val="0"/>
          <w:numId w:val="5"/>
        </w:numPr>
        <w:spacing w:line="360" w:lineRule="auto"/>
        <w:rPr>
          <w:rFonts w:ascii="宋体" w:eastAsia="宋体" w:hAnsi="宋体" w:cs="Times New Roman"/>
          <w:sz w:val="24"/>
        </w:rPr>
      </w:pPr>
      <w:r w:rsidRPr="000A0524">
        <w:rPr>
          <w:rFonts w:ascii="宋体" w:eastAsia="宋体" w:hAnsi="宋体" w:cs="Times New Roman" w:hint="eastAsia"/>
          <w:sz w:val="24"/>
        </w:rPr>
        <w:t>证券发行人派发股票红利，甲方应向乙方补偿相应的股票红利，乙方</w:t>
      </w:r>
      <w:r w:rsidRPr="000A0524">
        <w:rPr>
          <w:rFonts w:ascii="宋体" w:eastAsia="宋体" w:hAnsi="宋体" w:cs="Times New Roman" w:hint="eastAsia"/>
          <w:sz w:val="24"/>
        </w:rPr>
        <w:lastRenderedPageBreak/>
        <w:t>在股权登记日日终清算后计增甲方融券数量，甲方在偿还融券时偿还。</w:t>
      </w:r>
    </w:p>
    <w:p w:rsidR="000A0524" w:rsidRPr="000A0524" w:rsidRDefault="000A0524" w:rsidP="000A0524">
      <w:pPr>
        <w:tabs>
          <w:tab w:val="left" w:pos="720"/>
        </w:tabs>
        <w:spacing w:line="360" w:lineRule="auto"/>
        <w:ind w:firstLineChars="200" w:firstLine="480"/>
        <w:rPr>
          <w:rFonts w:ascii="宋体" w:eastAsia="宋体" w:hAnsi="宋体" w:cs="Times New Roman"/>
          <w:sz w:val="24"/>
        </w:rPr>
      </w:pPr>
      <w:r w:rsidRPr="000A0524">
        <w:rPr>
          <w:rFonts w:ascii="宋体" w:eastAsia="宋体" w:hAnsi="宋体" w:cs="Times New Roman" w:hint="eastAsia"/>
          <w:sz w:val="24"/>
        </w:rPr>
        <w:t>证券发行人增发新股或者向投资者发行优先认购权、发行可转换债券的，甲方以现金形式补偿乙方，补偿金额按以下公式计算：</w:t>
      </w:r>
    </w:p>
    <w:p w:rsidR="000A0524" w:rsidRPr="000A0524" w:rsidRDefault="000A0524" w:rsidP="000A0524">
      <w:pPr>
        <w:spacing w:line="360" w:lineRule="auto"/>
        <w:ind w:firstLineChars="200" w:firstLine="480"/>
        <w:rPr>
          <w:rFonts w:ascii="宋体" w:eastAsia="宋体" w:hAnsi="宋体" w:cs="Times New Roman"/>
          <w:sz w:val="24"/>
        </w:rPr>
      </w:pPr>
      <w:r w:rsidRPr="000A0524">
        <w:rPr>
          <w:rFonts w:ascii="宋体" w:eastAsia="宋体" w:hAnsi="宋体" w:cs="Times New Roman" w:hint="eastAsia"/>
          <w:sz w:val="24"/>
        </w:rPr>
        <w:t>补偿金额=(优先认购证券上市首日成交均价-发行认购价格)×可优先认购证券数量</w:t>
      </w:r>
    </w:p>
    <w:p w:rsidR="000A0524" w:rsidRPr="000A0524" w:rsidRDefault="000A0524" w:rsidP="000A0524">
      <w:pPr>
        <w:spacing w:line="360" w:lineRule="auto"/>
        <w:ind w:firstLineChars="200" w:firstLine="480"/>
        <w:rPr>
          <w:rFonts w:ascii="宋体" w:eastAsia="宋体" w:hAnsi="宋体" w:cs="Times New Roman"/>
          <w:sz w:val="24"/>
        </w:rPr>
      </w:pPr>
      <w:r w:rsidRPr="000A0524">
        <w:rPr>
          <w:rFonts w:ascii="宋体" w:eastAsia="宋体" w:hAnsi="宋体" w:cs="Times New Roman" w:hint="eastAsia"/>
          <w:sz w:val="24"/>
        </w:rPr>
        <w:t>根据前款公式计算的补偿金额大于零时，实施补偿；小于或者等于零时，不作补偿。</w:t>
      </w:r>
    </w:p>
    <w:p w:rsidR="000A0524" w:rsidRPr="000A0524" w:rsidRDefault="000A0524" w:rsidP="000A0524">
      <w:pPr>
        <w:numPr>
          <w:ilvl w:val="0"/>
          <w:numId w:val="5"/>
        </w:numPr>
        <w:spacing w:line="360" w:lineRule="auto"/>
        <w:rPr>
          <w:rFonts w:ascii="宋体" w:eastAsia="宋体" w:hAnsi="宋体" w:cs="Times New Roman"/>
          <w:sz w:val="24"/>
        </w:rPr>
      </w:pPr>
      <w:r w:rsidRPr="000A0524">
        <w:rPr>
          <w:rFonts w:ascii="宋体" w:eastAsia="宋体" w:hAnsi="宋体" w:cs="Times New Roman" w:hint="eastAsia"/>
          <w:sz w:val="24"/>
        </w:rPr>
        <w:t>证券发行人无偿派发权证的，甲方以现金方式对乙方进行补偿。</w:t>
      </w:r>
    </w:p>
    <w:p w:rsidR="000A0524" w:rsidRPr="000A0524" w:rsidRDefault="000A0524" w:rsidP="000A0524">
      <w:pPr>
        <w:spacing w:line="360" w:lineRule="auto"/>
        <w:ind w:left="569"/>
        <w:rPr>
          <w:rFonts w:ascii="宋体" w:eastAsia="宋体" w:hAnsi="宋体" w:cs="Times New Roman"/>
          <w:sz w:val="24"/>
        </w:rPr>
      </w:pPr>
      <w:r w:rsidRPr="000A0524">
        <w:rPr>
          <w:rFonts w:ascii="宋体" w:eastAsia="宋体" w:hAnsi="宋体" w:cs="Times New Roman" w:hint="eastAsia"/>
          <w:sz w:val="24"/>
        </w:rPr>
        <w:t>补偿金额=权证上市首日成交均价×派发权证数量</w:t>
      </w:r>
    </w:p>
    <w:p w:rsidR="000A0524" w:rsidRPr="000A0524" w:rsidRDefault="000A0524" w:rsidP="000A0524">
      <w:pPr>
        <w:numPr>
          <w:ilvl w:val="0"/>
          <w:numId w:val="5"/>
        </w:numPr>
        <w:spacing w:line="360" w:lineRule="auto"/>
        <w:rPr>
          <w:rFonts w:ascii="宋体" w:eastAsia="宋体" w:hAnsi="宋体" w:cs="Times New Roman"/>
          <w:sz w:val="24"/>
        </w:rPr>
      </w:pPr>
      <w:r w:rsidRPr="000A0524">
        <w:rPr>
          <w:rFonts w:ascii="宋体" w:eastAsia="宋体" w:hAnsi="宋体" w:cs="Times New Roman" w:hint="eastAsia"/>
          <w:sz w:val="24"/>
        </w:rPr>
        <w:t>证券发行人配股的，甲方以现金方式对乙方进行补偿。补偿数额按照以下公式计算：</w:t>
      </w:r>
    </w:p>
    <w:p w:rsidR="000A0524" w:rsidRPr="000A0524" w:rsidRDefault="000A0524" w:rsidP="000A0524">
      <w:pPr>
        <w:spacing w:line="360" w:lineRule="auto"/>
        <w:ind w:left="2" w:firstLineChars="200" w:firstLine="480"/>
        <w:rPr>
          <w:rFonts w:ascii="宋体" w:eastAsia="宋体" w:hAnsi="宋体" w:cs="Times New Roman"/>
          <w:sz w:val="24"/>
        </w:rPr>
      </w:pPr>
      <w:r w:rsidRPr="000A0524">
        <w:rPr>
          <w:rFonts w:ascii="宋体" w:eastAsia="宋体" w:hAnsi="宋体" w:cs="Times New Roman" w:hint="eastAsia"/>
          <w:sz w:val="24"/>
        </w:rPr>
        <w:t>补偿金额=(证券股权登记日收盘价-配股除权参考价)×未偿还融券数量</w:t>
      </w:r>
    </w:p>
    <w:p w:rsidR="000A0524" w:rsidRPr="000A0524" w:rsidRDefault="000A0524" w:rsidP="000A0524">
      <w:pPr>
        <w:spacing w:line="360" w:lineRule="auto"/>
        <w:ind w:firstLineChars="200" w:firstLine="480"/>
        <w:rPr>
          <w:rFonts w:ascii="宋体" w:eastAsia="宋体" w:hAnsi="宋体" w:cs="Times New Roman"/>
          <w:sz w:val="24"/>
        </w:rPr>
      </w:pPr>
      <w:r w:rsidRPr="000A0524">
        <w:rPr>
          <w:rFonts w:ascii="宋体" w:eastAsia="宋体" w:hAnsi="宋体" w:cs="Times New Roman" w:hint="eastAsia"/>
          <w:sz w:val="24"/>
        </w:rPr>
        <w:t>根据前款公式计算的补偿金额大于零时，实施补偿；小于或者等于零时，不作补偿)</w:t>
      </w:r>
    </w:p>
    <w:p w:rsidR="000A0524" w:rsidRPr="000A0524" w:rsidRDefault="000A0524" w:rsidP="000A0524">
      <w:pPr>
        <w:numPr>
          <w:ilvl w:val="0"/>
          <w:numId w:val="5"/>
        </w:numPr>
        <w:spacing w:line="360" w:lineRule="auto"/>
        <w:rPr>
          <w:rFonts w:ascii="宋体" w:eastAsia="宋体" w:hAnsi="宋体" w:cs="Times New Roman"/>
          <w:sz w:val="24"/>
        </w:rPr>
      </w:pPr>
      <w:r w:rsidRPr="000A0524">
        <w:rPr>
          <w:rFonts w:ascii="宋体" w:eastAsia="宋体" w:hAnsi="宋体" w:cs="Times New Roman" w:hint="eastAsia"/>
          <w:sz w:val="24"/>
        </w:rPr>
        <w:t>证券发行人的证券发生退市、暂停上市、吸收合并、要约收购时，若最后交易日在融券合约到期日之前，甲方须在以下时间孰早的日期：上市公司相关公告之日（T日）之后两个交易日（T+2日）、该只证券最后交易日的前一交易日内，提前了结该证券的融券负债；否则，乙方有权在上述偿还日的下一交易日起对该融券进行强制平仓。</w:t>
      </w:r>
    </w:p>
    <w:p w:rsidR="000A0524" w:rsidRPr="000A0524" w:rsidRDefault="000A0524" w:rsidP="000A0524">
      <w:pPr>
        <w:numPr>
          <w:ilvl w:val="0"/>
          <w:numId w:val="5"/>
        </w:numPr>
        <w:spacing w:line="360" w:lineRule="auto"/>
        <w:rPr>
          <w:rFonts w:ascii="宋体" w:eastAsia="宋体" w:hAnsi="宋体" w:cs="Times New Roman"/>
          <w:sz w:val="24"/>
        </w:rPr>
      </w:pPr>
      <w:r w:rsidRPr="000A0524">
        <w:rPr>
          <w:rFonts w:ascii="宋体" w:eastAsia="宋体" w:hAnsi="宋体" w:cs="Times New Roman" w:hint="eastAsia"/>
          <w:sz w:val="24"/>
        </w:rPr>
        <w:t>甲方及其一致行动人通过普通证券账户和信用证券账户合计持有一家上市公司股票及其权益的数量或者其增减变动达到规定的比例时，应当依法履行相应的信息报告、披露或者要约收购义务。本条款事务由甲方独立承担办理责任。</w:t>
      </w:r>
    </w:p>
    <w:p w:rsidR="000A0524" w:rsidRPr="000A0524" w:rsidRDefault="000A0524" w:rsidP="000A0524">
      <w:pPr>
        <w:spacing w:line="360" w:lineRule="auto"/>
        <w:rPr>
          <w:rFonts w:ascii="宋体" w:eastAsia="宋体" w:hAnsi="宋体" w:cs="Times New Roman"/>
          <w:sz w:val="24"/>
        </w:rPr>
      </w:pPr>
      <w:r w:rsidRPr="000A0524">
        <w:rPr>
          <w:rFonts w:ascii="宋体" w:eastAsia="宋体" w:hAnsi="宋体" w:cs="Times New Roman" w:hint="eastAsia"/>
          <w:sz w:val="24"/>
        </w:rPr>
        <w:t xml:space="preserve">    乙方有权单方公告变更权益补偿扣收方法和</w:t>
      </w:r>
      <w:r w:rsidRPr="000A0524">
        <w:rPr>
          <w:rFonts w:ascii="宋体" w:eastAsia="宋体" w:hAnsi="宋体" w:cs="Times New Roman"/>
          <w:sz w:val="24"/>
        </w:rPr>
        <w:t>方式</w:t>
      </w:r>
      <w:r w:rsidRPr="000A0524">
        <w:rPr>
          <w:rFonts w:ascii="宋体" w:eastAsia="宋体" w:hAnsi="宋体" w:cs="Times New Roman" w:hint="eastAsia"/>
          <w:sz w:val="24"/>
        </w:rPr>
        <w:t>。若</w:t>
      </w:r>
      <w:r w:rsidRPr="000A0524">
        <w:rPr>
          <w:rFonts w:ascii="宋体" w:eastAsia="宋体" w:hAnsi="宋体" w:cs="Times New Roman"/>
          <w:sz w:val="24"/>
        </w:rPr>
        <w:t>乙方变更</w:t>
      </w:r>
      <w:r w:rsidRPr="000A0524">
        <w:rPr>
          <w:rFonts w:ascii="宋体" w:eastAsia="宋体" w:hAnsi="宋体" w:cs="Times New Roman" w:hint="eastAsia"/>
          <w:sz w:val="24"/>
        </w:rPr>
        <w:t>权益补偿扣收方法和</w:t>
      </w:r>
      <w:r w:rsidRPr="000A0524">
        <w:rPr>
          <w:rFonts w:ascii="宋体" w:eastAsia="宋体" w:hAnsi="宋体" w:cs="Times New Roman"/>
          <w:sz w:val="24"/>
        </w:rPr>
        <w:t>方式的，乙方将以公告形式通知甲方，甲方</w:t>
      </w:r>
      <w:r w:rsidRPr="000A0524">
        <w:rPr>
          <w:rFonts w:ascii="宋体" w:eastAsia="宋体" w:hAnsi="宋体" w:cs="Times New Roman" w:hint="eastAsia"/>
          <w:sz w:val="24"/>
        </w:rPr>
        <w:t>应</w:t>
      </w:r>
      <w:r w:rsidRPr="000A0524">
        <w:rPr>
          <w:rFonts w:ascii="宋体" w:eastAsia="宋体" w:hAnsi="宋体" w:cs="Times New Roman"/>
          <w:sz w:val="24"/>
        </w:rPr>
        <w:t>及时关注，并按公告方式进行</w:t>
      </w:r>
      <w:r w:rsidRPr="000A0524">
        <w:rPr>
          <w:rFonts w:ascii="宋体" w:eastAsia="宋体" w:hAnsi="宋体" w:cs="Times New Roman" w:hint="eastAsia"/>
          <w:sz w:val="24"/>
        </w:rPr>
        <w:t>补偿</w:t>
      </w:r>
      <w:r w:rsidRPr="000A0524">
        <w:rPr>
          <w:rFonts w:ascii="宋体" w:eastAsia="宋体" w:hAnsi="宋体" w:cs="Times New Roman"/>
          <w:sz w:val="24"/>
        </w:rPr>
        <w:t>。</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甲方多偿还</w:t>
      </w:r>
      <w:r w:rsidRPr="000A0524">
        <w:rPr>
          <w:rFonts w:ascii="宋体" w:eastAsia="宋体" w:hAnsi="宋体" w:cs="Times New Roman"/>
          <w:sz w:val="24"/>
        </w:rPr>
        <w:t>给乙方的</w:t>
      </w:r>
      <w:r w:rsidRPr="000A0524">
        <w:rPr>
          <w:rFonts w:ascii="宋体" w:eastAsia="宋体" w:hAnsi="宋体" w:cs="Times New Roman" w:hint="eastAsia"/>
          <w:sz w:val="24"/>
        </w:rPr>
        <w:t>融券</w:t>
      </w:r>
      <w:r w:rsidRPr="000A0524">
        <w:rPr>
          <w:rFonts w:ascii="宋体" w:eastAsia="宋体" w:hAnsi="宋体" w:cs="Times New Roman"/>
          <w:sz w:val="24"/>
        </w:rPr>
        <w:t>合约证券</w:t>
      </w:r>
      <w:r w:rsidRPr="000A0524">
        <w:rPr>
          <w:rFonts w:ascii="宋体" w:eastAsia="宋体" w:hAnsi="宋体" w:cs="Times New Roman" w:hint="eastAsia"/>
          <w:sz w:val="24"/>
        </w:rPr>
        <w:t>（以下</w:t>
      </w:r>
      <w:r w:rsidRPr="000A0524">
        <w:rPr>
          <w:rFonts w:ascii="宋体" w:eastAsia="宋体" w:hAnsi="宋体" w:cs="Times New Roman"/>
          <w:sz w:val="24"/>
        </w:rPr>
        <w:t>简称“</w:t>
      </w:r>
      <w:r w:rsidRPr="000A0524">
        <w:rPr>
          <w:rFonts w:ascii="宋体" w:eastAsia="宋体" w:hAnsi="宋体" w:cs="Times New Roman" w:hint="eastAsia"/>
          <w:sz w:val="24"/>
        </w:rPr>
        <w:t>余券</w:t>
      </w:r>
      <w:r w:rsidRPr="000A0524">
        <w:rPr>
          <w:rFonts w:ascii="宋体" w:eastAsia="宋体" w:hAnsi="宋体" w:cs="Times New Roman"/>
          <w:sz w:val="24"/>
        </w:rPr>
        <w:t>”</w:t>
      </w:r>
      <w:r w:rsidRPr="000A0524">
        <w:rPr>
          <w:rFonts w:ascii="宋体" w:eastAsia="宋体" w:hAnsi="宋体" w:cs="Times New Roman" w:hint="eastAsia"/>
          <w:sz w:val="24"/>
        </w:rPr>
        <w:t>）</w:t>
      </w:r>
      <w:r w:rsidRPr="000A0524">
        <w:rPr>
          <w:rFonts w:ascii="宋体" w:eastAsia="宋体" w:hAnsi="宋体" w:cs="Times New Roman"/>
          <w:sz w:val="24"/>
        </w:rPr>
        <w:t>，</w:t>
      </w:r>
      <w:r w:rsidRPr="000A0524">
        <w:rPr>
          <w:rFonts w:ascii="宋体" w:eastAsia="宋体" w:hAnsi="宋体" w:cs="Times New Roman" w:hint="eastAsia"/>
          <w:sz w:val="24"/>
        </w:rPr>
        <w:t>如</w:t>
      </w:r>
      <w:r w:rsidRPr="000A0524">
        <w:rPr>
          <w:rFonts w:ascii="宋体" w:eastAsia="宋体" w:hAnsi="宋体" w:cs="Times New Roman"/>
          <w:sz w:val="24"/>
        </w:rPr>
        <w:t>在乙方</w:t>
      </w:r>
      <w:r w:rsidRPr="000A0524">
        <w:rPr>
          <w:rFonts w:ascii="宋体" w:eastAsia="宋体" w:hAnsi="宋体" w:cs="Times New Roman" w:hint="eastAsia"/>
          <w:sz w:val="24"/>
        </w:rPr>
        <w:t>余券划转完成前，余券的证券发行人向原股东配售股份的或者增发新股以及发行权证、可转债等证券时原股东有优先认购权的，乙方不予以补偿。</w:t>
      </w:r>
    </w:p>
    <w:p w:rsidR="000A0524" w:rsidRPr="000A0524" w:rsidRDefault="000A0524" w:rsidP="000A0524">
      <w:pPr>
        <w:spacing w:line="360" w:lineRule="auto"/>
        <w:rPr>
          <w:rFonts w:ascii="宋体" w:eastAsia="宋体" w:hAnsi="宋体" w:cs="Times New Roman"/>
          <w:sz w:val="24"/>
        </w:rPr>
      </w:pPr>
    </w:p>
    <w:p w:rsidR="000A0524" w:rsidRPr="000A0524" w:rsidRDefault="000A0524" w:rsidP="000A0524">
      <w:pPr>
        <w:spacing w:line="360" w:lineRule="auto"/>
        <w:jc w:val="center"/>
        <w:rPr>
          <w:rFonts w:ascii="宋体" w:eastAsia="宋体" w:hAnsi="宋体" w:cs="Times New Roman"/>
          <w:b/>
          <w:sz w:val="24"/>
        </w:rPr>
      </w:pPr>
      <w:r w:rsidRPr="000A0524">
        <w:rPr>
          <w:rFonts w:ascii="宋体" w:eastAsia="宋体" w:hAnsi="宋体" w:cs="Times New Roman" w:hint="eastAsia"/>
          <w:b/>
          <w:sz w:val="24"/>
        </w:rPr>
        <w:t>第十四章  债务清偿</w:t>
      </w:r>
    </w:p>
    <w:p w:rsidR="000A0524" w:rsidRPr="000A0524" w:rsidRDefault="000A0524" w:rsidP="000A0524">
      <w:pPr>
        <w:numPr>
          <w:ilvl w:val="1"/>
          <w:numId w:val="3"/>
        </w:numPr>
        <w:spacing w:line="360" w:lineRule="auto"/>
        <w:rPr>
          <w:rFonts w:ascii="宋体" w:eastAsia="宋体" w:hAnsi="宋体" w:cs="宋体-WinCharSetFFFF-H"/>
          <w:kern w:val="0"/>
          <w:sz w:val="24"/>
        </w:rPr>
      </w:pPr>
      <w:r w:rsidRPr="000A0524">
        <w:rPr>
          <w:rFonts w:ascii="宋体" w:eastAsia="宋体" w:hAnsi="宋体" w:cs="Times New Roman" w:hint="eastAsia"/>
          <w:sz w:val="24"/>
        </w:rPr>
        <w:t xml:space="preserve"> 甲方应当清偿债务的范围，包括但不限于：向乙方借入的资金和证券、融资利息和融券费用、</w:t>
      </w:r>
      <w:r w:rsidRPr="000A0524">
        <w:rPr>
          <w:rFonts w:ascii="宋体" w:eastAsia="宋体" w:hAnsi="宋体" w:cs="宋体-WinCharSetFFFF-H" w:hint="eastAsia"/>
          <w:kern w:val="0"/>
          <w:sz w:val="24"/>
        </w:rPr>
        <w:t>融资交易费用</w:t>
      </w:r>
      <w:r w:rsidRPr="000A0524">
        <w:rPr>
          <w:rFonts w:ascii="宋体" w:eastAsia="宋体" w:hAnsi="宋体" w:cs="Times New Roman" w:hint="eastAsia"/>
          <w:sz w:val="24"/>
        </w:rPr>
        <w:t>、罚息、违约金、损害赔偿金、实现债权的费用（包括但不限于律师费、诉讼或仲裁费、公证费、差旅费等）及其他相关费用。</w:t>
      </w:r>
    </w:p>
    <w:p w:rsidR="000A0524" w:rsidRPr="000A0524" w:rsidRDefault="000A0524" w:rsidP="000A0524">
      <w:pPr>
        <w:numPr>
          <w:ilvl w:val="1"/>
          <w:numId w:val="3"/>
        </w:numPr>
        <w:spacing w:line="360" w:lineRule="auto"/>
        <w:rPr>
          <w:rFonts w:ascii="宋体" w:eastAsia="宋体" w:hAnsi="宋体" w:cs="宋体-WinCharSetFFFF-H"/>
          <w:kern w:val="0"/>
          <w:sz w:val="24"/>
        </w:rPr>
      </w:pPr>
      <w:r w:rsidRPr="000A0524">
        <w:rPr>
          <w:rFonts w:ascii="宋体" w:eastAsia="宋体" w:hAnsi="宋体" w:cs="宋体-WinCharSetFFFF-H" w:hint="eastAsia"/>
          <w:kern w:val="0"/>
          <w:sz w:val="24"/>
        </w:rPr>
        <w:t xml:space="preserve"> 甲方向乙方偿还其所欠债务的顺序为：乙方为追索债务所支付的费用、违约金、甲方向乙方融资借入的资金和融券卖出的证券，融资交易费用、融资利息和融券费用。</w:t>
      </w:r>
    </w:p>
    <w:p w:rsidR="000A0524" w:rsidRPr="000A0524" w:rsidRDefault="000A0524" w:rsidP="000A0524">
      <w:pPr>
        <w:numPr>
          <w:ilvl w:val="1"/>
          <w:numId w:val="3"/>
        </w:numPr>
        <w:spacing w:line="360" w:lineRule="auto"/>
        <w:rPr>
          <w:rFonts w:ascii="宋体" w:eastAsia="宋体" w:hAnsi="宋体" w:cs="宋体-WinCharSetFFFF-H"/>
          <w:kern w:val="0"/>
          <w:sz w:val="24"/>
        </w:rPr>
      </w:pPr>
      <w:r w:rsidRPr="000A0524">
        <w:rPr>
          <w:rFonts w:ascii="宋体" w:eastAsia="宋体" w:hAnsi="宋体" w:cs="宋体-WinCharSetFFFF-H" w:hint="eastAsia"/>
          <w:kern w:val="0"/>
          <w:sz w:val="24"/>
        </w:rPr>
        <w:t xml:space="preserve"> </w:t>
      </w:r>
      <w:r w:rsidRPr="000A0524">
        <w:rPr>
          <w:rFonts w:ascii="宋体" w:eastAsia="宋体" w:hAnsi="宋体" w:cs="Times New Roman" w:hint="eastAsia"/>
          <w:sz w:val="24"/>
        </w:rPr>
        <w:t>甲方可以在约定的融资、融券期限届满时偿还对乙方所负债务，也可以在与乙方协商后，提前偿还对乙方所负债务。</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甲方从事融资交易的，可以选择卖券还款或直接还款方式偿还对乙方所负债务；甲方卖出信用账户已开仓证券所得资金，应当首先用于偿还甲方对乙方所负融资债务。当日无融资合约到期的，甲方通过卖券还款方式卖出与融资合约标的证券相同的证券的，优先偿还相同证券的融资合约；当日有融资合约到期的，甲方通过卖券还款方式卖出的证券优先偿还当日到期的融资合约。</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甲方从事融券交易的，可以选择买券还券或直接还券的方式，偿还向乙方融入的证券。偿还融券负债时，同一证券多笔融券按照“先到期先偿还”的原则逐笔偿还。</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若在本合同到期日日终甲方信用账户内还存在未了结融资融券余额的，乙方有权强制平仓甲方信用账户内的资产，直至甲方足额归还融入的资金或证券及相应的融资融券成本。平仓后仍不足以偿还对乙方所负债务的，乙方有权向甲方继续追偿，直至偿还所有债务和相关费用（包括但不限于借入的资金和证券、融资利息、融券费用、交易费用、罚息、违约金以及用于追索的相关费用（包括律师费用和诉讼、仲裁费用、公证费、差旅费）等）。</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由于乙方降低对甲方的授信额度，导致甲方未偿还的融资融券债务总额大于其现有的授信额度，乙方有权拒绝执行甲方新的融资融券开仓交易指令。</w:t>
      </w:r>
    </w:p>
    <w:p w:rsidR="000A0524" w:rsidRPr="000A0524" w:rsidRDefault="000A0524" w:rsidP="000A0524">
      <w:pPr>
        <w:spacing w:line="360" w:lineRule="auto"/>
        <w:jc w:val="center"/>
        <w:rPr>
          <w:rFonts w:ascii="宋体" w:eastAsia="宋体" w:hAnsi="宋体" w:cs="Times New Roman"/>
          <w:b/>
          <w:sz w:val="24"/>
        </w:rPr>
      </w:pPr>
      <w:r w:rsidRPr="000A0524">
        <w:rPr>
          <w:rFonts w:ascii="宋体" w:eastAsia="宋体" w:hAnsi="宋体" w:cs="Times New Roman" w:hint="eastAsia"/>
          <w:b/>
          <w:sz w:val="24"/>
        </w:rPr>
        <w:t>第十五章  通知与送达</w:t>
      </w:r>
    </w:p>
    <w:p w:rsidR="000A0524" w:rsidRPr="000A0524" w:rsidRDefault="000A0524" w:rsidP="000A0524">
      <w:pPr>
        <w:numPr>
          <w:ilvl w:val="1"/>
          <w:numId w:val="3"/>
        </w:numPr>
        <w:spacing w:line="360" w:lineRule="auto"/>
        <w:rPr>
          <w:rFonts w:ascii="宋体" w:eastAsia="宋体" w:hAnsi="宋体" w:cs="Times New Roman"/>
          <w:b/>
          <w:sz w:val="24"/>
        </w:rPr>
      </w:pPr>
      <w:r w:rsidRPr="000A0524">
        <w:rPr>
          <w:rFonts w:ascii="宋体" w:eastAsia="宋体" w:hAnsi="宋体" w:cs="Times New Roman" w:hint="eastAsia"/>
          <w:sz w:val="24"/>
        </w:rPr>
        <w:t xml:space="preserve"> </w:t>
      </w:r>
      <w:r w:rsidRPr="000A0524">
        <w:rPr>
          <w:rFonts w:ascii="宋体" w:eastAsia="宋体" w:hAnsi="宋体" w:cs="Times New Roman" w:hint="eastAsia"/>
          <w:b/>
          <w:sz w:val="24"/>
        </w:rPr>
        <w:t>乙方将按甲方在乙方开立普通账户时预留在乙方技术系统中的任</w:t>
      </w:r>
      <w:r w:rsidRPr="000A0524">
        <w:rPr>
          <w:rFonts w:ascii="宋体" w:eastAsia="宋体" w:hAnsi="宋体" w:cs="Times New Roman" w:hint="eastAsia"/>
          <w:b/>
          <w:sz w:val="24"/>
        </w:rPr>
        <w:lastRenderedPageBreak/>
        <w:t>何一种或多种联系方式(甲方在开立信用账户时或后续更新了联系方式的，以乙方技术系统记录的甲方最近更新的联系方式为准)履行各项通知义务，甲方须确保各联系渠道的准确、有效。甲方为自然人的，联系人为甲方本人；</w:t>
      </w:r>
      <w:r w:rsidRPr="000A0524">
        <w:rPr>
          <w:rFonts w:ascii="宋体" w:eastAsia="宋体" w:hAnsi="宋体" w:cs="Times New Roman"/>
          <w:b/>
          <w:sz w:val="24"/>
        </w:rPr>
        <w:t>甲方为机构的</w:t>
      </w:r>
      <w:r w:rsidRPr="000A0524">
        <w:rPr>
          <w:rFonts w:ascii="宋体" w:eastAsia="宋体" w:hAnsi="宋体" w:cs="Times New Roman" w:hint="eastAsia"/>
          <w:b/>
          <w:sz w:val="24"/>
        </w:rPr>
        <w:t>，联系人</w:t>
      </w:r>
      <w:r w:rsidRPr="000A0524">
        <w:rPr>
          <w:rFonts w:ascii="宋体" w:eastAsia="宋体" w:hAnsi="宋体" w:cs="Times New Roman"/>
          <w:b/>
          <w:sz w:val="24"/>
        </w:rPr>
        <w:t>为甲方指定</w:t>
      </w:r>
      <w:r w:rsidRPr="000A0524">
        <w:rPr>
          <w:rFonts w:ascii="宋体" w:eastAsia="宋体" w:hAnsi="宋体" w:cs="Times New Roman" w:hint="eastAsia"/>
          <w:b/>
          <w:sz w:val="24"/>
        </w:rPr>
        <w:t>代理</w:t>
      </w:r>
      <w:r w:rsidRPr="000A0524">
        <w:rPr>
          <w:rFonts w:ascii="宋体" w:eastAsia="宋体" w:hAnsi="宋体" w:cs="Times New Roman"/>
          <w:b/>
          <w:sz w:val="24"/>
        </w:rPr>
        <w:t>人</w:t>
      </w:r>
      <w:r w:rsidRPr="000A0524">
        <w:rPr>
          <w:rFonts w:ascii="宋体" w:eastAsia="宋体" w:hAnsi="宋体" w:cs="Times New Roman" w:hint="eastAsia"/>
          <w:b/>
          <w:sz w:val="24"/>
        </w:rPr>
        <w:t>。</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甲方应指定固定电话号码、移动电话号码、电子信箱或邮寄地址（含邮政编码）中的一种或一种以上的联络方式，并在该等联络方式中的任何一项发生变更时，及时办理变更手续。除本合同已有明确约定外，乙方以上述任何一种方式向甲方通知的，视为乙方已经履行对甲方的通知义务。乙方按照甲方提供的联络方式履行了本合同项下的通知义务，仍无法与甲方取得联络的，则视为甲方对乙方欲通知的内容已全部知悉。因甲方未留存联系信息、联络方式变更而未及时申请</w:t>
      </w:r>
      <w:r w:rsidRPr="000A0524">
        <w:rPr>
          <w:rFonts w:ascii="宋体" w:eastAsia="宋体" w:hAnsi="宋体" w:cs="Times New Roman"/>
          <w:sz w:val="24"/>
        </w:rPr>
        <w:t>修改在乙方预留信息和</w:t>
      </w:r>
      <w:r w:rsidRPr="000A0524">
        <w:rPr>
          <w:rFonts w:ascii="宋体" w:eastAsia="宋体" w:hAnsi="宋体" w:cs="Times New Roman" w:hint="eastAsia"/>
          <w:sz w:val="24"/>
        </w:rPr>
        <w:t>通知乙方、所提供的联系信息不准确、拒绝接收乙方通知、通信系统无法接收乙方发出的信息等原因，造成乙方通知被退回、发送延误或失败，乙方不承担责任，所产生的一切损失由甲方自行承担。</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在乙方发出通知后，按如下约定视为该通知已经送达甲方：</w:t>
      </w:r>
    </w:p>
    <w:p w:rsidR="000A0524" w:rsidRPr="000A0524" w:rsidRDefault="000A0524" w:rsidP="000A0524">
      <w:pPr>
        <w:numPr>
          <w:ilvl w:val="0"/>
          <w:numId w:val="13"/>
        </w:numPr>
        <w:spacing w:line="360" w:lineRule="auto"/>
        <w:rPr>
          <w:rFonts w:ascii="宋体" w:eastAsia="宋体" w:hAnsi="宋体" w:cs="Times New Roman"/>
          <w:sz w:val="24"/>
        </w:rPr>
      </w:pPr>
      <w:r w:rsidRPr="000A0524">
        <w:rPr>
          <w:rFonts w:ascii="宋体" w:eastAsia="宋体" w:hAnsi="宋体" w:cs="Times New Roman" w:hint="eastAsia"/>
          <w:sz w:val="24"/>
        </w:rPr>
        <w:t>以邮寄方式通知的，以邮件到达甲方在本合同中指定的邮寄地址即视为已经通知送达；</w:t>
      </w:r>
      <w:r w:rsidRPr="000A0524">
        <w:rPr>
          <w:rFonts w:ascii="宋体" w:eastAsia="宋体" w:hAnsi="宋体" w:cs="Times New Roman"/>
          <w:sz w:val="24"/>
        </w:rPr>
        <w:t>因甲方未留存联系地址、提供的联系地址不准确、送达地址变更未及时按乙方认可的方式通知乙方、甲方或其指定的代理人拒绝签收，</w:t>
      </w:r>
      <w:r w:rsidRPr="000A0524">
        <w:rPr>
          <w:rFonts w:ascii="宋体" w:eastAsia="宋体" w:hAnsi="宋体" w:cs="Times New Roman" w:hint="eastAsia"/>
          <w:sz w:val="24"/>
        </w:rPr>
        <w:t>导致邮件未能被甲方实际接收的，邮件退回之日即视为送达之日。</w:t>
      </w:r>
    </w:p>
    <w:p w:rsidR="000A0524" w:rsidRPr="000A0524" w:rsidRDefault="000A0524" w:rsidP="000A0524">
      <w:pPr>
        <w:numPr>
          <w:ilvl w:val="0"/>
          <w:numId w:val="13"/>
        </w:numPr>
        <w:spacing w:line="360" w:lineRule="auto"/>
        <w:rPr>
          <w:rFonts w:ascii="宋体" w:eastAsia="宋体" w:hAnsi="宋体" w:cs="Times New Roman"/>
          <w:sz w:val="24"/>
        </w:rPr>
      </w:pPr>
      <w:r w:rsidRPr="000A0524">
        <w:rPr>
          <w:rFonts w:ascii="宋体" w:eastAsia="宋体" w:hAnsi="宋体" w:cs="Times New Roman" w:hint="eastAsia"/>
          <w:sz w:val="24"/>
        </w:rPr>
        <w:t>以电子邮件方式通知的，以电子邮件成功发送即视为已经通知送达。</w:t>
      </w:r>
    </w:p>
    <w:p w:rsidR="000A0524" w:rsidRPr="000A0524" w:rsidRDefault="000A0524" w:rsidP="000A0524">
      <w:pPr>
        <w:numPr>
          <w:ilvl w:val="0"/>
          <w:numId w:val="13"/>
        </w:numPr>
        <w:spacing w:line="360" w:lineRule="auto"/>
        <w:rPr>
          <w:rFonts w:ascii="宋体" w:eastAsia="宋体" w:hAnsi="宋体" w:cs="Times New Roman"/>
          <w:sz w:val="24"/>
        </w:rPr>
      </w:pPr>
      <w:r w:rsidRPr="000A0524">
        <w:rPr>
          <w:rFonts w:ascii="宋体" w:eastAsia="宋体" w:hAnsi="宋体" w:cs="Times New Roman" w:hint="eastAsia"/>
          <w:sz w:val="24"/>
        </w:rPr>
        <w:t>以录音电话方式通知的，以通话当时视为已经通知送达。</w:t>
      </w:r>
    </w:p>
    <w:p w:rsidR="000A0524" w:rsidRPr="000A0524" w:rsidRDefault="000A0524" w:rsidP="000A0524">
      <w:pPr>
        <w:numPr>
          <w:ilvl w:val="0"/>
          <w:numId w:val="13"/>
        </w:numPr>
        <w:spacing w:line="360" w:lineRule="auto"/>
        <w:rPr>
          <w:rFonts w:ascii="宋体" w:eastAsia="宋体" w:hAnsi="宋体" w:cs="Times New Roman"/>
          <w:sz w:val="24"/>
        </w:rPr>
      </w:pPr>
      <w:r w:rsidRPr="000A0524">
        <w:rPr>
          <w:rFonts w:ascii="宋体" w:eastAsia="宋体" w:hAnsi="宋体" w:cs="Times New Roman" w:hint="eastAsia"/>
          <w:sz w:val="24"/>
        </w:rPr>
        <w:t>以短信方式通知的，以短信发送成功即视为通知送达。</w:t>
      </w:r>
    </w:p>
    <w:p w:rsidR="000A0524" w:rsidRPr="000A0524" w:rsidRDefault="000A0524" w:rsidP="000A0524">
      <w:pPr>
        <w:numPr>
          <w:ilvl w:val="0"/>
          <w:numId w:val="13"/>
        </w:numPr>
        <w:spacing w:line="360" w:lineRule="auto"/>
        <w:rPr>
          <w:rFonts w:ascii="宋体" w:eastAsia="宋体" w:hAnsi="宋体" w:cs="Times New Roman"/>
          <w:sz w:val="24"/>
        </w:rPr>
      </w:pPr>
      <w:r w:rsidRPr="000A0524">
        <w:rPr>
          <w:rFonts w:ascii="宋体" w:eastAsia="宋体" w:hAnsi="宋体" w:cs="Times New Roman" w:hint="eastAsia"/>
          <w:sz w:val="24"/>
        </w:rPr>
        <w:t>以传真方式通知的，以传真成功发出后即视为通知送达。</w:t>
      </w:r>
    </w:p>
    <w:p w:rsidR="000A0524" w:rsidRPr="000A0524" w:rsidRDefault="000A0524" w:rsidP="000A0524">
      <w:pPr>
        <w:numPr>
          <w:ilvl w:val="0"/>
          <w:numId w:val="13"/>
        </w:numPr>
        <w:spacing w:line="360" w:lineRule="auto"/>
        <w:rPr>
          <w:rFonts w:ascii="宋体" w:eastAsia="宋体" w:hAnsi="宋体" w:cs="Times New Roman"/>
          <w:sz w:val="24"/>
        </w:rPr>
      </w:pPr>
      <w:r w:rsidRPr="000A0524">
        <w:rPr>
          <w:rFonts w:ascii="宋体" w:eastAsia="宋体" w:hAnsi="宋体" w:cs="Times New Roman" w:hint="eastAsia"/>
          <w:sz w:val="24"/>
        </w:rPr>
        <w:t>以公告方式通知的，公告发布之日，视为已经通知送达。</w:t>
      </w:r>
    </w:p>
    <w:p w:rsidR="000A0524" w:rsidRPr="000A0524" w:rsidRDefault="000A0524" w:rsidP="000A0524">
      <w:pPr>
        <w:spacing w:line="360" w:lineRule="auto"/>
        <w:rPr>
          <w:rFonts w:ascii="宋体" w:eastAsia="宋体" w:hAnsi="宋体" w:cs="Times New Roman"/>
          <w:sz w:val="24"/>
        </w:rPr>
      </w:pPr>
      <w:r w:rsidRPr="000A0524">
        <w:rPr>
          <w:rFonts w:ascii="宋体" w:eastAsia="宋体" w:hAnsi="宋体" w:cs="Times New Roman" w:hint="eastAsia"/>
          <w:sz w:val="24"/>
        </w:rPr>
        <w:t xml:space="preserve">     数据电文和录音、录像可作为通知送达的证据。</w:t>
      </w:r>
    </w:p>
    <w:p w:rsidR="000A0524" w:rsidRPr="000A0524" w:rsidRDefault="000A0524" w:rsidP="000A0524">
      <w:pPr>
        <w:numPr>
          <w:ilvl w:val="1"/>
          <w:numId w:val="3"/>
        </w:numPr>
        <w:spacing w:line="360" w:lineRule="auto"/>
        <w:rPr>
          <w:rFonts w:ascii="宋体" w:eastAsia="宋体" w:hAnsi="宋体" w:cs="Times New Roman"/>
          <w:b/>
          <w:sz w:val="24"/>
        </w:rPr>
      </w:pPr>
      <w:r w:rsidRPr="000A0524">
        <w:rPr>
          <w:rFonts w:ascii="宋体" w:eastAsia="宋体" w:hAnsi="宋体" w:cs="Times New Roman" w:hint="eastAsia"/>
          <w:b/>
          <w:bCs/>
          <w:sz w:val="24"/>
        </w:rPr>
        <w:t xml:space="preserve"> 以下事项乙方通过公告方式告知甲方（公告形式为在乙方营业场所内或在乙方的网站内、交易系统公告）：</w:t>
      </w:r>
    </w:p>
    <w:p w:rsidR="000A0524" w:rsidRPr="000A0524" w:rsidRDefault="000A0524" w:rsidP="000A0524">
      <w:pPr>
        <w:numPr>
          <w:ilvl w:val="0"/>
          <w:numId w:val="14"/>
        </w:numPr>
        <w:tabs>
          <w:tab w:val="num" w:pos="900"/>
          <w:tab w:val="left" w:pos="993"/>
        </w:tabs>
        <w:spacing w:line="360" w:lineRule="auto"/>
        <w:rPr>
          <w:rFonts w:ascii="宋体" w:eastAsia="宋体" w:hAnsi="宋体" w:cs="Times New Roman"/>
          <w:b/>
          <w:bCs/>
          <w:sz w:val="24"/>
        </w:rPr>
      </w:pPr>
      <w:r w:rsidRPr="000A0524">
        <w:rPr>
          <w:rFonts w:ascii="宋体" w:eastAsia="宋体" w:hAnsi="宋体" w:cs="Times New Roman" w:hint="eastAsia"/>
          <w:b/>
          <w:bCs/>
          <w:sz w:val="24"/>
        </w:rPr>
        <w:t xml:space="preserve">  甲方可充抵保证金有价证券范围和折算率。 </w:t>
      </w:r>
    </w:p>
    <w:p w:rsidR="000A0524" w:rsidRPr="000A0524" w:rsidRDefault="000A0524" w:rsidP="000A0524">
      <w:pPr>
        <w:numPr>
          <w:ilvl w:val="0"/>
          <w:numId w:val="14"/>
        </w:numPr>
        <w:tabs>
          <w:tab w:val="num" w:pos="900"/>
          <w:tab w:val="left" w:pos="993"/>
        </w:tabs>
        <w:spacing w:line="360" w:lineRule="auto"/>
        <w:rPr>
          <w:rFonts w:ascii="宋体" w:eastAsia="宋体" w:hAnsi="宋体" w:cs="Times New Roman"/>
          <w:b/>
          <w:bCs/>
          <w:sz w:val="24"/>
        </w:rPr>
      </w:pPr>
      <w:r w:rsidRPr="000A0524">
        <w:rPr>
          <w:rFonts w:ascii="宋体" w:eastAsia="宋体" w:hAnsi="宋体" w:cs="Times New Roman" w:hint="eastAsia"/>
          <w:b/>
          <w:bCs/>
          <w:sz w:val="24"/>
        </w:rPr>
        <w:t xml:space="preserve">  甲方可融资买入和融券卖出的标的证券的范围。</w:t>
      </w:r>
    </w:p>
    <w:p w:rsidR="000A0524" w:rsidRPr="000A0524" w:rsidRDefault="000A0524" w:rsidP="000A0524">
      <w:pPr>
        <w:numPr>
          <w:ilvl w:val="0"/>
          <w:numId w:val="14"/>
        </w:numPr>
        <w:tabs>
          <w:tab w:val="num" w:pos="900"/>
          <w:tab w:val="left" w:pos="993"/>
        </w:tabs>
        <w:spacing w:line="360" w:lineRule="auto"/>
        <w:rPr>
          <w:rFonts w:ascii="宋体" w:eastAsia="宋体" w:hAnsi="宋体" w:cs="Times New Roman"/>
          <w:b/>
          <w:bCs/>
          <w:sz w:val="24"/>
        </w:rPr>
      </w:pPr>
      <w:r w:rsidRPr="000A0524">
        <w:rPr>
          <w:rFonts w:ascii="宋体" w:eastAsia="宋体" w:hAnsi="宋体" w:cs="Times New Roman" w:hint="eastAsia"/>
          <w:b/>
          <w:bCs/>
          <w:sz w:val="24"/>
        </w:rPr>
        <w:t xml:space="preserve">  保证金比例，维持担保比例的预警线、警戒线和平仓线</w:t>
      </w:r>
      <w:r w:rsidRPr="000A0524">
        <w:rPr>
          <w:rFonts w:ascii="宋体" w:eastAsia="宋体" w:hAnsi="宋体" w:cs="Times New Roman" w:hint="eastAsia"/>
          <w:bCs/>
          <w:sz w:val="24"/>
        </w:rPr>
        <w:t>。</w:t>
      </w:r>
    </w:p>
    <w:p w:rsidR="000A0524" w:rsidRPr="000A0524" w:rsidRDefault="000A0524" w:rsidP="000A0524">
      <w:pPr>
        <w:numPr>
          <w:ilvl w:val="0"/>
          <w:numId w:val="14"/>
        </w:numPr>
        <w:tabs>
          <w:tab w:val="num" w:pos="900"/>
          <w:tab w:val="left" w:pos="993"/>
        </w:tabs>
        <w:spacing w:line="360" w:lineRule="auto"/>
        <w:rPr>
          <w:rFonts w:ascii="宋体" w:eastAsia="宋体" w:hAnsi="宋体" w:cs="Times New Roman"/>
          <w:b/>
          <w:sz w:val="24"/>
        </w:rPr>
      </w:pPr>
      <w:r w:rsidRPr="000A0524">
        <w:rPr>
          <w:rFonts w:ascii="宋体" w:eastAsia="宋体" w:hAnsi="宋体" w:cs="Times New Roman" w:hint="eastAsia"/>
          <w:b/>
          <w:bCs/>
          <w:sz w:val="24"/>
        </w:rPr>
        <w:lastRenderedPageBreak/>
        <w:t xml:space="preserve">  当日的融资利率和融券费率、逾期罚息率。</w:t>
      </w:r>
    </w:p>
    <w:p w:rsidR="000A0524" w:rsidRPr="000A0524" w:rsidRDefault="000A0524" w:rsidP="000A0524">
      <w:pPr>
        <w:numPr>
          <w:ilvl w:val="0"/>
          <w:numId w:val="14"/>
        </w:numPr>
        <w:tabs>
          <w:tab w:val="num" w:pos="900"/>
          <w:tab w:val="left" w:pos="993"/>
        </w:tabs>
        <w:spacing w:line="360" w:lineRule="auto"/>
        <w:rPr>
          <w:rFonts w:ascii="宋体" w:eastAsia="宋体" w:hAnsi="宋体" w:cs="Times New Roman"/>
          <w:b/>
          <w:sz w:val="24"/>
        </w:rPr>
      </w:pPr>
      <w:r w:rsidRPr="000A0524">
        <w:rPr>
          <w:rFonts w:ascii="宋体" w:eastAsia="宋体" w:hAnsi="宋体" w:cs="Times New Roman" w:hint="eastAsia"/>
          <w:b/>
          <w:sz w:val="24"/>
        </w:rPr>
        <w:t xml:space="preserve">  集中度控制指标及阈值。</w:t>
      </w:r>
    </w:p>
    <w:p w:rsidR="000A0524" w:rsidRPr="000A0524" w:rsidRDefault="00EC102D" w:rsidP="000A0524">
      <w:pPr>
        <w:numPr>
          <w:ilvl w:val="0"/>
          <w:numId w:val="14"/>
        </w:numPr>
        <w:tabs>
          <w:tab w:val="num" w:pos="900"/>
          <w:tab w:val="left" w:pos="993"/>
        </w:tabs>
        <w:spacing w:line="360" w:lineRule="auto"/>
        <w:rPr>
          <w:rFonts w:ascii="宋体" w:eastAsia="宋体" w:hAnsi="宋体" w:cs="Times New Roman"/>
          <w:b/>
          <w:sz w:val="24"/>
        </w:rPr>
      </w:pPr>
      <w:r>
        <w:rPr>
          <w:rFonts w:ascii="宋体" w:eastAsia="宋体" w:hAnsi="宋体" w:cs="Times New Roman" w:hint="eastAsia"/>
          <w:b/>
          <w:sz w:val="24"/>
        </w:rPr>
        <w:t xml:space="preserve"> </w:t>
      </w:r>
      <w:r>
        <w:rPr>
          <w:rFonts w:ascii="宋体" w:eastAsia="宋体" w:hAnsi="宋体" w:cs="Times New Roman"/>
          <w:b/>
          <w:sz w:val="24"/>
        </w:rPr>
        <w:t xml:space="preserve"> </w:t>
      </w:r>
      <w:r w:rsidR="000A0524" w:rsidRPr="000A0524">
        <w:rPr>
          <w:rFonts w:ascii="宋体" w:eastAsia="宋体" w:hAnsi="宋体" w:cs="Times New Roman" w:hint="eastAsia"/>
          <w:b/>
          <w:sz w:val="24"/>
        </w:rPr>
        <w:t>其他融资融券风控指标</w:t>
      </w:r>
      <w:r w:rsidR="00C36003">
        <w:rPr>
          <w:rFonts w:ascii="宋体" w:eastAsia="宋体" w:hAnsi="宋体" w:cs="Times New Roman" w:hint="eastAsia"/>
          <w:b/>
          <w:sz w:val="24"/>
        </w:rPr>
        <w:t>。</w:t>
      </w:r>
    </w:p>
    <w:p w:rsidR="000A0524" w:rsidRPr="000A0524" w:rsidRDefault="000A0524" w:rsidP="000A0524">
      <w:pPr>
        <w:numPr>
          <w:ilvl w:val="0"/>
          <w:numId w:val="14"/>
        </w:numPr>
        <w:tabs>
          <w:tab w:val="num" w:pos="900"/>
          <w:tab w:val="left" w:pos="993"/>
        </w:tabs>
        <w:spacing w:line="360" w:lineRule="auto"/>
        <w:rPr>
          <w:rFonts w:ascii="宋体" w:eastAsia="宋体" w:hAnsi="宋体" w:cs="Times New Roman"/>
          <w:b/>
          <w:sz w:val="24"/>
        </w:rPr>
      </w:pPr>
      <w:r w:rsidRPr="000A0524">
        <w:rPr>
          <w:rFonts w:ascii="宋体" w:eastAsia="宋体" w:hAnsi="宋体" w:cs="Times New Roman" w:hint="eastAsia"/>
          <w:b/>
          <w:bCs/>
          <w:sz w:val="24"/>
        </w:rPr>
        <w:t xml:space="preserve">  其它公告事项。</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对于甲方信用账户出现须补足担保品、强制平仓等情况，甲方应</w:t>
      </w:r>
      <w:r w:rsidRPr="000A0524">
        <w:rPr>
          <w:rFonts w:ascii="宋体" w:eastAsia="宋体" w:hAnsi="宋体" w:cs="Times New Roman"/>
          <w:sz w:val="24"/>
        </w:rPr>
        <w:t>及时</w:t>
      </w:r>
      <w:r w:rsidRPr="000A0524">
        <w:rPr>
          <w:rFonts w:ascii="宋体" w:eastAsia="宋体" w:hAnsi="宋体" w:cs="Times New Roman" w:hint="eastAsia"/>
          <w:sz w:val="24"/>
        </w:rPr>
        <w:t>接收</w:t>
      </w:r>
      <w:r w:rsidRPr="000A0524">
        <w:rPr>
          <w:rFonts w:ascii="宋体" w:eastAsia="宋体" w:hAnsi="宋体" w:cs="Times New Roman"/>
          <w:sz w:val="24"/>
        </w:rPr>
        <w:t>乙方通知</w:t>
      </w:r>
      <w:r w:rsidRPr="000A0524">
        <w:rPr>
          <w:rFonts w:ascii="宋体" w:eastAsia="宋体" w:hAnsi="宋体" w:cs="Times New Roman" w:hint="eastAsia"/>
          <w:sz w:val="24"/>
        </w:rPr>
        <w:t>。为避免疑义，乙方实施强制平仓并不以通知甲方为前提。</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甲方可自行选择通过乙方网上交易系统下载或通过乙方营业网点柜台打印的方式获取对账单。</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乙方向甲方提供的对账单，包括但不限于以下事项：</w:t>
      </w:r>
    </w:p>
    <w:p w:rsidR="000A0524" w:rsidRPr="000A0524" w:rsidRDefault="000A0524" w:rsidP="000A0524">
      <w:pPr>
        <w:numPr>
          <w:ilvl w:val="0"/>
          <w:numId w:val="7"/>
        </w:numPr>
        <w:spacing w:line="360" w:lineRule="auto"/>
        <w:rPr>
          <w:rFonts w:ascii="宋体" w:eastAsia="宋体" w:hAnsi="宋体" w:cs="Times New Roman"/>
          <w:sz w:val="24"/>
        </w:rPr>
      </w:pPr>
      <w:r w:rsidRPr="000A0524">
        <w:rPr>
          <w:rFonts w:ascii="宋体" w:eastAsia="宋体" w:hAnsi="宋体" w:cs="Times New Roman" w:hint="eastAsia"/>
          <w:sz w:val="24"/>
        </w:rPr>
        <w:t>甲方授信额度与剩余可用授信额度。</w:t>
      </w:r>
    </w:p>
    <w:p w:rsidR="000A0524" w:rsidRPr="000A0524" w:rsidRDefault="000A0524" w:rsidP="000A0524">
      <w:pPr>
        <w:numPr>
          <w:ilvl w:val="0"/>
          <w:numId w:val="7"/>
        </w:numPr>
        <w:spacing w:line="360" w:lineRule="auto"/>
        <w:rPr>
          <w:rFonts w:ascii="宋体" w:eastAsia="宋体" w:hAnsi="宋体" w:cs="Times New Roman"/>
          <w:sz w:val="24"/>
        </w:rPr>
      </w:pPr>
      <w:r w:rsidRPr="000A0524">
        <w:rPr>
          <w:rFonts w:ascii="宋体" w:eastAsia="宋体" w:hAnsi="宋体" w:cs="Times New Roman" w:hint="eastAsia"/>
          <w:sz w:val="24"/>
        </w:rPr>
        <w:t>甲方信用账户资产总值、负债总额、保证金可用余额与可提取金额、担保证券市值、维持担保比例。</w:t>
      </w:r>
    </w:p>
    <w:p w:rsidR="000A0524" w:rsidRPr="000A0524" w:rsidRDefault="000A0524" w:rsidP="000A0524">
      <w:pPr>
        <w:numPr>
          <w:ilvl w:val="0"/>
          <w:numId w:val="7"/>
        </w:numPr>
        <w:spacing w:line="360" w:lineRule="auto"/>
        <w:rPr>
          <w:rFonts w:ascii="宋体" w:eastAsia="宋体" w:hAnsi="宋体" w:cs="Times New Roman"/>
          <w:sz w:val="24"/>
        </w:rPr>
      </w:pPr>
      <w:r w:rsidRPr="000A0524">
        <w:rPr>
          <w:rFonts w:ascii="宋体" w:eastAsia="宋体" w:hAnsi="宋体" w:cs="Times New Roman" w:hint="eastAsia"/>
          <w:sz w:val="24"/>
        </w:rPr>
        <w:t>每笔融资利息与融券费用、偿还期限，融资买入和融券卖出的成交价格、数量、金额。</w:t>
      </w:r>
    </w:p>
    <w:p w:rsidR="000A0524" w:rsidRPr="000A0524" w:rsidRDefault="000A0524" w:rsidP="000A0524">
      <w:pPr>
        <w:spacing w:line="360" w:lineRule="auto"/>
        <w:jc w:val="center"/>
        <w:rPr>
          <w:rFonts w:ascii="宋体" w:eastAsia="宋体" w:hAnsi="宋体" w:cs="Times New Roman"/>
          <w:b/>
          <w:sz w:val="24"/>
        </w:rPr>
      </w:pPr>
    </w:p>
    <w:p w:rsidR="000A0524" w:rsidRPr="000A0524" w:rsidRDefault="000A0524" w:rsidP="000A0524">
      <w:pPr>
        <w:spacing w:line="360" w:lineRule="auto"/>
        <w:jc w:val="center"/>
        <w:rPr>
          <w:rFonts w:ascii="宋体" w:eastAsia="宋体" w:hAnsi="宋体" w:cs="Times New Roman"/>
          <w:b/>
          <w:sz w:val="24"/>
        </w:rPr>
      </w:pPr>
      <w:r w:rsidRPr="000A0524">
        <w:rPr>
          <w:rFonts w:ascii="宋体" w:eastAsia="宋体" w:hAnsi="宋体" w:cs="Times New Roman" w:hint="eastAsia"/>
          <w:b/>
          <w:sz w:val="24"/>
        </w:rPr>
        <w:t>第十六章  免责条款</w:t>
      </w:r>
    </w:p>
    <w:p w:rsidR="000A0524" w:rsidRPr="000A0524" w:rsidRDefault="000A0524" w:rsidP="000A0524">
      <w:pPr>
        <w:numPr>
          <w:ilvl w:val="1"/>
          <w:numId w:val="3"/>
        </w:numPr>
        <w:spacing w:line="360" w:lineRule="auto"/>
        <w:rPr>
          <w:rFonts w:ascii="宋体" w:eastAsia="宋体" w:hAnsi="宋体" w:cs="Times New Roman"/>
          <w:b/>
          <w:sz w:val="24"/>
        </w:rPr>
      </w:pPr>
      <w:r w:rsidRPr="000A0524">
        <w:rPr>
          <w:rFonts w:ascii="宋体" w:eastAsia="宋体" w:hAnsi="宋体" w:cs="Times New Roman" w:hint="eastAsia"/>
          <w:b/>
          <w:sz w:val="24"/>
        </w:rPr>
        <w:t xml:space="preserve"> 因出现火灾、地震、瘟疫、战争、社会动乱、网络黑客或计算机病毒攻击等不能预见、避免或克服等不可抗力情形，或因出现无法控制和不可预测的系统故障、设备故障、通讯故障、电力故障等异常事故及其他非人为因素、监管机关或行业协会规定的其他免责情形，或因本合同生效后颁布、实施或修改的法律、法规或政策等因素，导致合同任何一方不能及时或完全履行本合同的，其相应责任应予免除。</w:t>
      </w:r>
    </w:p>
    <w:p w:rsidR="000A0524" w:rsidRPr="000A0524" w:rsidRDefault="000A0524" w:rsidP="000A0524">
      <w:pPr>
        <w:numPr>
          <w:ilvl w:val="1"/>
          <w:numId w:val="3"/>
        </w:numPr>
        <w:spacing w:line="360" w:lineRule="auto"/>
        <w:rPr>
          <w:rFonts w:ascii="宋体" w:eastAsia="宋体" w:hAnsi="宋体" w:cs="Times New Roman"/>
          <w:b/>
          <w:sz w:val="24"/>
        </w:rPr>
      </w:pPr>
      <w:r w:rsidRPr="000A0524">
        <w:rPr>
          <w:rFonts w:ascii="宋体" w:eastAsia="宋体" w:hAnsi="宋体" w:cs="Times New Roman" w:hint="eastAsia"/>
          <w:sz w:val="24"/>
        </w:rPr>
        <w:t xml:space="preserve"> </w:t>
      </w:r>
      <w:r w:rsidRPr="000A0524">
        <w:rPr>
          <w:rFonts w:ascii="宋体" w:eastAsia="宋体" w:hAnsi="宋体" w:cs="Times New Roman" w:hint="eastAsia"/>
          <w:b/>
          <w:sz w:val="24"/>
        </w:rPr>
        <w:t>遭受不可抗力、异常事故或知悉政策法律变化的一方，应在遭受不可抗力、异常事故或知悉政策法律变化后尽快通知另一方，双方应积极协调后续事宜。</w:t>
      </w:r>
    </w:p>
    <w:p w:rsidR="000A0524" w:rsidRPr="000A0524" w:rsidRDefault="000A0524" w:rsidP="000A0524">
      <w:pPr>
        <w:numPr>
          <w:ilvl w:val="1"/>
          <w:numId w:val="3"/>
        </w:numPr>
        <w:spacing w:line="360" w:lineRule="auto"/>
        <w:rPr>
          <w:rFonts w:ascii="宋体" w:eastAsia="宋体" w:hAnsi="宋体" w:cs="Times New Roman"/>
          <w:b/>
          <w:sz w:val="24"/>
        </w:rPr>
      </w:pPr>
      <w:r w:rsidRPr="000A0524">
        <w:rPr>
          <w:rFonts w:ascii="宋体" w:eastAsia="宋体" w:hAnsi="宋体" w:cs="Times New Roman" w:hint="eastAsia"/>
          <w:b/>
          <w:sz w:val="24"/>
        </w:rPr>
        <w:t xml:space="preserve"> 甲方应妥善保管信用账户卡（如有）、身份证件和交易密码等资料，不得将信用账户卡、身份证件、交易密码等提供给他人。所有使用甲方账户和密码进行的交易均被视为甲方行为，由甲方承担全部责任。</w:t>
      </w:r>
    </w:p>
    <w:p w:rsidR="000A0524" w:rsidRPr="000A0524" w:rsidRDefault="000A0524" w:rsidP="000A0524">
      <w:pPr>
        <w:numPr>
          <w:ilvl w:val="1"/>
          <w:numId w:val="3"/>
        </w:numPr>
        <w:spacing w:line="360" w:lineRule="auto"/>
        <w:rPr>
          <w:rFonts w:ascii="宋体" w:eastAsia="宋体" w:hAnsi="宋体" w:cs="Times New Roman"/>
          <w:b/>
          <w:sz w:val="24"/>
        </w:rPr>
      </w:pPr>
      <w:r w:rsidRPr="000A0524">
        <w:rPr>
          <w:rFonts w:ascii="宋体" w:eastAsia="宋体" w:hAnsi="宋体" w:cs="Times New Roman" w:hint="eastAsia"/>
          <w:b/>
          <w:sz w:val="24"/>
        </w:rPr>
        <w:t xml:space="preserve"> 乙方提供的行情、信息资料等均来自专业机构，甲方根据此等</w:t>
      </w:r>
      <w:r w:rsidRPr="000A0524">
        <w:rPr>
          <w:rFonts w:ascii="宋体" w:eastAsia="宋体" w:hAnsi="宋体" w:cs="Times New Roman" w:hint="eastAsia"/>
          <w:b/>
          <w:sz w:val="24"/>
        </w:rPr>
        <w:lastRenderedPageBreak/>
        <w:t>数据进行操作造成的经济损失，乙方不承担任何经济或法律责任。</w:t>
      </w:r>
    </w:p>
    <w:p w:rsidR="000A0524" w:rsidRPr="000A0524" w:rsidRDefault="000A0524" w:rsidP="000A0524">
      <w:pPr>
        <w:numPr>
          <w:ilvl w:val="1"/>
          <w:numId w:val="3"/>
        </w:numPr>
        <w:spacing w:line="360" w:lineRule="auto"/>
        <w:rPr>
          <w:rFonts w:ascii="宋体" w:eastAsia="宋体" w:hAnsi="宋体" w:cs="Times New Roman"/>
          <w:b/>
          <w:sz w:val="24"/>
        </w:rPr>
      </w:pPr>
      <w:r w:rsidRPr="000A0524">
        <w:rPr>
          <w:rFonts w:ascii="宋体" w:eastAsia="宋体" w:hAnsi="宋体" w:cs="Times New Roman" w:hint="eastAsia"/>
          <w:b/>
          <w:sz w:val="24"/>
        </w:rPr>
        <w:t xml:space="preserve"> 甲方与乙方任何分支机构、工作人员私下签订的全权委托协议或约定的有关全权委托或分享投资收益、分担投资损失之事项，均属违反本合同约定、乙方管理制度及国家法律法规规定，其协议和约定事项无效，由此产生的损失乙方不承担赔偿责任。</w:t>
      </w:r>
    </w:p>
    <w:p w:rsidR="000A0524" w:rsidRPr="000A0524" w:rsidRDefault="000A0524" w:rsidP="000A0524">
      <w:pPr>
        <w:numPr>
          <w:ilvl w:val="1"/>
          <w:numId w:val="3"/>
        </w:numPr>
        <w:spacing w:line="360" w:lineRule="auto"/>
        <w:rPr>
          <w:rFonts w:ascii="宋体" w:eastAsia="宋体" w:hAnsi="宋体" w:cs="Times New Roman"/>
          <w:b/>
          <w:sz w:val="24"/>
        </w:rPr>
      </w:pPr>
      <w:r w:rsidRPr="000A0524">
        <w:rPr>
          <w:rFonts w:ascii="宋体" w:eastAsia="宋体" w:hAnsi="宋体" w:cs="Times New Roman" w:hint="eastAsia"/>
          <w:b/>
          <w:sz w:val="24"/>
        </w:rPr>
        <w:t xml:space="preserve"> 乙方公布的标的证券、可充抵保证金的证券名单可能与乙方自营、资产管理业务持仓重合，乙方投资银行、研究咨询等其他业务也可能涉及该等证券。乙方公布、调整标的证券、可充抵保证金的证券名单及其折算率，并不构成对该等证券投资价值的判断或建议，请甲方审慎独立决策。</w:t>
      </w:r>
    </w:p>
    <w:p w:rsidR="000A0524" w:rsidRPr="000A0524" w:rsidRDefault="000A0524" w:rsidP="000A0524">
      <w:pPr>
        <w:numPr>
          <w:ilvl w:val="1"/>
          <w:numId w:val="3"/>
        </w:numPr>
        <w:spacing w:line="360" w:lineRule="auto"/>
        <w:rPr>
          <w:rFonts w:ascii="宋体" w:eastAsia="宋体" w:hAnsi="宋体" w:cs="Times New Roman"/>
          <w:b/>
          <w:sz w:val="24"/>
        </w:rPr>
      </w:pPr>
      <w:r w:rsidRPr="000A0524">
        <w:rPr>
          <w:rFonts w:ascii="宋体" w:eastAsia="宋体" w:hAnsi="宋体" w:cs="Times New Roman" w:hint="eastAsia"/>
          <w:b/>
          <w:sz w:val="24"/>
        </w:rPr>
        <w:t>乙方对于任何非因乙方过错导致的交易指令传递过程中发生的延误、遗失或其他任何电讯传递过程中发生的延误或错误而引起的后果不负任何责任。</w:t>
      </w:r>
    </w:p>
    <w:p w:rsidR="000A0524" w:rsidRPr="000A0524" w:rsidRDefault="000A0524" w:rsidP="000A0524">
      <w:pPr>
        <w:numPr>
          <w:ilvl w:val="1"/>
          <w:numId w:val="3"/>
        </w:numPr>
        <w:spacing w:line="360" w:lineRule="auto"/>
        <w:rPr>
          <w:rFonts w:ascii="宋体" w:eastAsia="宋体" w:hAnsi="宋体" w:cs="Times New Roman"/>
          <w:b/>
          <w:sz w:val="24"/>
        </w:rPr>
      </w:pPr>
      <w:r w:rsidRPr="000A0524">
        <w:rPr>
          <w:rFonts w:ascii="宋体" w:eastAsia="宋体" w:hAnsi="宋体" w:cs="Times New Roman" w:hint="eastAsia"/>
          <w:b/>
          <w:sz w:val="24"/>
        </w:rPr>
        <w:t>乙方将根据本合同的有关规定，对甲方的委托交易指令进行审核。但对于伪造交易指令的后果，乙方不承担任何责任。甲方必须对其委托交易和结果承担全部责任。作为证券交易代理人, 乙方在任何情况下对证券发行人或证券交易所的过错均不负责任。</w:t>
      </w:r>
    </w:p>
    <w:p w:rsidR="000A0524" w:rsidRPr="000A0524" w:rsidRDefault="000A0524" w:rsidP="000A0524">
      <w:pPr>
        <w:spacing w:line="360" w:lineRule="auto"/>
        <w:rPr>
          <w:rFonts w:ascii="宋体" w:eastAsia="宋体" w:hAnsi="宋体" w:cs="Times New Roman"/>
          <w:sz w:val="24"/>
        </w:rPr>
      </w:pPr>
    </w:p>
    <w:p w:rsidR="000A0524" w:rsidRPr="000A0524" w:rsidRDefault="000A0524" w:rsidP="000A0524">
      <w:pPr>
        <w:spacing w:line="360" w:lineRule="auto"/>
        <w:jc w:val="center"/>
        <w:rPr>
          <w:rFonts w:ascii="宋体" w:eastAsia="宋体" w:hAnsi="宋体" w:cs="Times New Roman"/>
          <w:b/>
          <w:sz w:val="24"/>
        </w:rPr>
      </w:pPr>
      <w:r w:rsidRPr="000A0524">
        <w:rPr>
          <w:rFonts w:ascii="宋体" w:eastAsia="宋体" w:hAnsi="宋体" w:cs="Times New Roman" w:hint="eastAsia"/>
          <w:b/>
          <w:sz w:val="24"/>
        </w:rPr>
        <w:t>第十七章  违约责任与争议处理</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有关本合同的签署、效力和争议解决等均适用中华人民共和国法律、法规之规定。本合同签订后，甲乙双方均应共同遵守，任何一方违反本合同规定之义务，视为违约，须承担相应的违约责任，并应赔偿由此给另一方造成的实际损失。</w:t>
      </w:r>
    </w:p>
    <w:p w:rsidR="000A0524" w:rsidRPr="00B371F8" w:rsidRDefault="000A0524" w:rsidP="000A0524">
      <w:pPr>
        <w:numPr>
          <w:ilvl w:val="1"/>
          <w:numId w:val="3"/>
        </w:numPr>
        <w:spacing w:line="360" w:lineRule="auto"/>
        <w:rPr>
          <w:rFonts w:ascii="宋体" w:eastAsia="宋体" w:hAnsi="宋体" w:cs="Times New Roman"/>
          <w:b/>
          <w:sz w:val="24"/>
        </w:rPr>
      </w:pPr>
      <w:r w:rsidRPr="000A0524">
        <w:rPr>
          <w:rFonts w:ascii="宋体" w:eastAsia="宋体" w:hAnsi="宋体" w:cs="Times New Roman" w:hint="eastAsia"/>
          <w:sz w:val="24"/>
        </w:rPr>
        <w:t xml:space="preserve"> </w:t>
      </w:r>
      <w:r w:rsidRPr="00B371F8">
        <w:rPr>
          <w:rFonts w:ascii="宋体" w:eastAsia="宋体" w:hAnsi="宋体" w:cs="Times New Roman" w:hint="eastAsia"/>
          <w:b/>
          <w:sz w:val="24"/>
        </w:rPr>
        <w:t>甲乙双方必须遵守本协议之约定。本协议适用中国法律。因本协议引起的或与本协议有关的任何争议，甲乙双方可以自行协商解决或向中国证券业协会证券纠纷调解中心申请调解。双方中任何一方均可将争议提交中国国际经济贸易仲裁委员会，按照申请仲裁时该会现行有效的仲裁规则进行仲裁，仲裁地为深圳。</w:t>
      </w:r>
    </w:p>
    <w:p w:rsidR="000A0524" w:rsidRPr="000A0524" w:rsidRDefault="000A0524" w:rsidP="000A0524">
      <w:pPr>
        <w:spacing w:line="360" w:lineRule="auto"/>
        <w:ind w:firstLineChars="200" w:firstLine="480"/>
        <w:rPr>
          <w:rFonts w:ascii="宋体" w:eastAsia="宋体" w:hAnsi="宋体" w:cs="Times New Roman"/>
          <w:sz w:val="24"/>
        </w:rPr>
      </w:pPr>
      <w:r w:rsidRPr="000A0524">
        <w:rPr>
          <w:rFonts w:ascii="宋体" w:eastAsia="宋体" w:hAnsi="宋体" w:cs="Times New Roman" w:hint="eastAsia"/>
          <w:sz w:val="24"/>
        </w:rPr>
        <w:t>双方同意仲裁庭由三人组成，双方各自选定一名仲裁员，并在仲裁规则规定的期限内由双方或双方各自选定的仲裁员共同选定一名首席仲裁员；双方或双方</w:t>
      </w:r>
      <w:r w:rsidRPr="000A0524">
        <w:rPr>
          <w:rFonts w:ascii="宋体" w:eastAsia="宋体" w:hAnsi="宋体" w:cs="Times New Roman" w:hint="eastAsia"/>
          <w:sz w:val="24"/>
        </w:rPr>
        <w:lastRenderedPageBreak/>
        <w:t>各自选定的仲裁员未能在规定期间内共同选定首席仲裁员，双方同意由中国国际经济贸易仲裁委员会主任代为指定一名首席仲裁员。双方同意，各方和双方因仲裁而提交或通过仲裁庭而交换的所有证据、文件、资料、陈述、中间裁决和最终裁决（以及该等裁决中所认定的事实），在仲裁期间和其后均承担保密义务。未经一方书面同意，另一方不得直接或间接对任何第三方进行披露和评述。仲裁庭的裁决是终局的，对争议双方均具有法律约束力。</w:t>
      </w:r>
    </w:p>
    <w:p w:rsidR="000A0524" w:rsidRPr="000A0524" w:rsidRDefault="000A0524" w:rsidP="000A0524">
      <w:pPr>
        <w:spacing w:line="360" w:lineRule="auto"/>
        <w:jc w:val="center"/>
        <w:rPr>
          <w:rFonts w:ascii="宋体" w:eastAsia="宋体" w:hAnsi="宋体" w:cs="Times New Roman"/>
          <w:b/>
          <w:sz w:val="24"/>
        </w:rPr>
      </w:pPr>
    </w:p>
    <w:p w:rsidR="000A0524" w:rsidRPr="000A0524" w:rsidRDefault="000A0524" w:rsidP="000A0524">
      <w:pPr>
        <w:spacing w:line="360" w:lineRule="auto"/>
        <w:jc w:val="center"/>
        <w:rPr>
          <w:rFonts w:ascii="宋体" w:eastAsia="宋体" w:hAnsi="宋体" w:cs="Times New Roman"/>
          <w:b/>
          <w:sz w:val="24"/>
        </w:rPr>
      </w:pPr>
      <w:r w:rsidRPr="000A0524">
        <w:rPr>
          <w:rFonts w:ascii="宋体" w:eastAsia="宋体" w:hAnsi="宋体" w:cs="Times New Roman" w:hint="eastAsia"/>
          <w:b/>
          <w:sz w:val="24"/>
        </w:rPr>
        <w:t>第十八章  合同的生效、变更与终止</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采用纸面形式签署的，本合同须同时满足以下条件时成立：</w:t>
      </w:r>
    </w:p>
    <w:p w:rsidR="000A0524" w:rsidRPr="000A0524" w:rsidRDefault="000A0524" w:rsidP="000A0524">
      <w:pPr>
        <w:numPr>
          <w:ilvl w:val="2"/>
          <w:numId w:val="2"/>
        </w:numPr>
        <w:tabs>
          <w:tab w:val="left" w:pos="1080"/>
        </w:tabs>
        <w:spacing w:line="360" w:lineRule="auto"/>
        <w:rPr>
          <w:rFonts w:ascii="宋体" w:eastAsia="宋体" w:hAnsi="宋体" w:cs="Times New Roman"/>
          <w:sz w:val="24"/>
        </w:rPr>
      </w:pPr>
      <w:r w:rsidRPr="000A0524">
        <w:rPr>
          <w:rFonts w:ascii="宋体" w:eastAsia="宋体" w:hAnsi="宋体" w:cs="Times New Roman" w:hint="eastAsia"/>
          <w:sz w:val="24"/>
        </w:rPr>
        <w:t>当甲方为个人投资者时，应由甲方本人签字；当甲方为机构投资者时，应由法定代表人或其授权代表人签字并加盖机构公章。</w:t>
      </w:r>
    </w:p>
    <w:p w:rsidR="000A0524" w:rsidRPr="000A0524" w:rsidRDefault="000A0524" w:rsidP="000A0524">
      <w:pPr>
        <w:numPr>
          <w:ilvl w:val="2"/>
          <w:numId w:val="2"/>
        </w:numPr>
        <w:tabs>
          <w:tab w:val="left" w:pos="1080"/>
        </w:tabs>
        <w:spacing w:line="360" w:lineRule="auto"/>
        <w:rPr>
          <w:rFonts w:ascii="宋体" w:eastAsia="宋体" w:hAnsi="宋体" w:cs="Times New Roman"/>
          <w:sz w:val="24"/>
        </w:rPr>
      </w:pPr>
      <w:r w:rsidRPr="000A0524">
        <w:rPr>
          <w:rFonts w:ascii="宋体" w:eastAsia="宋体" w:hAnsi="宋体" w:cs="Times New Roman" w:hint="eastAsia"/>
          <w:sz w:val="24"/>
        </w:rPr>
        <w:t>乙方加盖融资融券业务合同专用章。</w:t>
      </w:r>
    </w:p>
    <w:p w:rsidR="000A0524" w:rsidRPr="000A0524" w:rsidRDefault="000A0524" w:rsidP="000A0524">
      <w:pPr>
        <w:tabs>
          <w:tab w:val="left" w:pos="1080"/>
        </w:tabs>
        <w:spacing w:line="360" w:lineRule="auto"/>
        <w:ind w:firstLineChars="200" w:firstLine="480"/>
        <w:rPr>
          <w:rFonts w:ascii="宋体" w:eastAsia="宋体" w:hAnsi="宋体" w:cs="Times New Roman"/>
          <w:sz w:val="24"/>
        </w:rPr>
      </w:pPr>
      <w:r w:rsidRPr="000A0524">
        <w:rPr>
          <w:rFonts w:ascii="宋体" w:eastAsia="宋体" w:hAnsi="宋体" w:cs="Times New Roman" w:hint="eastAsia"/>
          <w:sz w:val="24"/>
        </w:rPr>
        <w:t>如本合同采取电子方式签署的，甲方以电子方式成功签署同意确认接受本协议即告成立，与在纸质协议上手写签名或盖章具有同等法律效力，无须另行签署纸质协议。</w:t>
      </w:r>
    </w:p>
    <w:p w:rsidR="000A0524" w:rsidRPr="000A0524" w:rsidRDefault="000A0524" w:rsidP="000A0524">
      <w:pPr>
        <w:tabs>
          <w:tab w:val="left" w:pos="1080"/>
        </w:tabs>
        <w:spacing w:line="360" w:lineRule="auto"/>
        <w:ind w:firstLineChars="200" w:firstLine="480"/>
        <w:rPr>
          <w:rFonts w:ascii="宋体" w:eastAsia="宋体" w:hAnsi="宋体" w:cs="Times New Roman"/>
          <w:sz w:val="24"/>
        </w:rPr>
      </w:pPr>
      <w:r w:rsidRPr="000A0524">
        <w:rPr>
          <w:rFonts w:ascii="宋体" w:eastAsia="宋体" w:hAnsi="宋体" w:cs="Times New Roman" w:hint="eastAsia"/>
          <w:sz w:val="24"/>
        </w:rPr>
        <w:t>除第一百一十五条另有约定之外，本合同自甲方通过乙方的审查后、获得乙方融资融券授信额度之日起生效。</w:t>
      </w:r>
    </w:p>
    <w:p w:rsidR="000A0524" w:rsidRPr="000A0524" w:rsidRDefault="000A0524" w:rsidP="000A0524">
      <w:pPr>
        <w:numPr>
          <w:ilvl w:val="1"/>
          <w:numId w:val="3"/>
        </w:numPr>
        <w:spacing w:line="360" w:lineRule="auto"/>
        <w:rPr>
          <w:rFonts w:ascii="宋体" w:eastAsia="宋体" w:hAnsi="宋体" w:cs="Times New Roman"/>
          <w:b/>
          <w:sz w:val="24"/>
        </w:rPr>
      </w:pPr>
      <w:r w:rsidRPr="000A0524">
        <w:rPr>
          <w:rFonts w:ascii="Calibri" w:eastAsia="宋体" w:hAnsi="Calibri" w:cs="Times New Roman" w:hint="eastAsia"/>
          <w:b/>
          <w:sz w:val="24"/>
          <w:szCs w:val="24"/>
          <w:lang w:val="x-none"/>
        </w:rPr>
        <w:t>如属于甲方原已与中金公司签署了融资融券合同、在中金公司开立信用账户，因中金公司与乙方进行业务整合，而将甲方信用账户从中金公司迁移至乙方的情形，则：</w:t>
      </w:r>
    </w:p>
    <w:p w:rsidR="000A0524" w:rsidRPr="000A0524" w:rsidRDefault="000A0524" w:rsidP="000A0524">
      <w:pPr>
        <w:spacing w:line="360" w:lineRule="auto"/>
        <w:ind w:firstLineChars="200" w:firstLine="482"/>
        <w:rPr>
          <w:rFonts w:ascii="Calibri" w:eastAsia="宋体" w:hAnsi="Calibri" w:cs="Times New Roman"/>
          <w:b/>
          <w:sz w:val="24"/>
          <w:szCs w:val="24"/>
          <w:lang w:val="x-none"/>
        </w:rPr>
      </w:pPr>
      <w:r w:rsidRPr="000A0524">
        <w:rPr>
          <w:rFonts w:ascii="Calibri" w:eastAsia="宋体" w:hAnsi="Calibri" w:cs="Times New Roman" w:hint="eastAsia"/>
          <w:b/>
          <w:sz w:val="24"/>
          <w:szCs w:val="24"/>
          <w:lang w:val="x-none"/>
        </w:rPr>
        <w:t>（</w:t>
      </w:r>
      <w:r w:rsidRPr="000A0524">
        <w:rPr>
          <w:rFonts w:ascii="Calibri" w:eastAsia="宋体" w:hAnsi="Calibri" w:cs="Times New Roman" w:hint="eastAsia"/>
          <w:b/>
          <w:sz w:val="24"/>
          <w:szCs w:val="24"/>
          <w:lang w:val="x-none"/>
        </w:rPr>
        <w:t>1</w:t>
      </w:r>
      <w:r w:rsidRPr="000A0524">
        <w:rPr>
          <w:rFonts w:ascii="Calibri" w:eastAsia="宋体" w:hAnsi="Calibri" w:cs="Times New Roman" w:hint="eastAsia"/>
          <w:b/>
          <w:sz w:val="24"/>
          <w:szCs w:val="24"/>
          <w:lang w:val="x-none"/>
        </w:rPr>
        <w:t>）本合同自甲方签署本合同之日或甲方信用账户迁移至乙方之日的孰晚日期生效；</w:t>
      </w:r>
    </w:p>
    <w:p w:rsidR="000A0524" w:rsidRPr="000A0524" w:rsidRDefault="000A0524" w:rsidP="000A0524">
      <w:pPr>
        <w:spacing w:line="360" w:lineRule="auto"/>
        <w:ind w:firstLineChars="200" w:firstLine="482"/>
        <w:rPr>
          <w:rFonts w:ascii="Calibri" w:eastAsia="宋体" w:hAnsi="Calibri" w:cs="Times New Roman"/>
          <w:b/>
          <w:sz w:val="24"/>
          <w:szCs w:val="24"/>
          <w:lang w:val="x-none"/>
        </w:rPr>
      </w:pPr>
      <w:r w:rsidRPr="000A0524">
        <w:rPr>
          <w:rFonts w:ascii="宋体" w:eastAsia="宋体" w:hAnsi="宋体" w:cs="Times New Roman" w:hint="eastAsia"/>
          <w:b/>
          <w:sz w:val="24"/>
          <w:lang w:val="x-none"/>
        </w:rPr>
        <w:t>（2）如本合同签署前，甲方在中金公司已开通信用账户科创板证券交易权限，与中金公司已签署了</w:t>
      </w:r>
      <w:r w:rsidRPr="000A0524">
        <w:rPr>
          <w:rFonts w:ascii="Calibri" w:eastAsia="宋体" w:hAnsi="Calibri" w:cs="Times New Roman" w:hint="eastAsia"/>
          <w:b/>
          <w:sz w:val="24"/>
          <w:szCs w:val="24"/>
          <w:lang w:val="x-none"/>
        </w:rPr>
        <w:t>科创板融资融券交易有关的</w:t>
      </w:r>
      <w:r w:rsidRPr="000A0524">
        <w:rPr>
          <w:rFonts w:ascii="宋体" w:eastAsia="宋体" w:hAnsi="宋体" w:cs="Times New Roman" w:hint="eastAsia"/>
          <w:b/>
          <w:sz w:val="24"/>
          <w:lang w:val="x-none"/>
        </w:rPr>
        <w:t>《</w:t>
      </w:r>
      <w:r w:rsidRPr="000A0524">
        <w:rPr>
          <w:rFonts w:ascii="Calibri" w:eastAsia="宋体" w:hAnsi="Calibri" w:cs="Times New Roman" w:hint="eastAsia"/>
          <w:b/>
          <w:sz w:val="24"/>
          <w:szCs w:val="24"/>
          <w:lang w:val="x-none"/>
        </w:rPr>
        <w:t>融资融券合同</w:t>
      </w:r>
      <w:r w:rsidRPr="000A0524">
        <w:rPr>
          <w:rFonts w:ascii="宋体" w:eastAsia="宋体" w:hAnsi="宋体" w:cs="Times New Roman" w:hint="eastAsia"/>
          <w:b/>
          <w:sz w:val="24"/>
          <w:lang w:val="x-none"/>
        </w:rPr>
        <w:t>》</w:t>
      </w:r>
      <w:r w:rsidRPr="000A0524">
        <w:rPr>
          <w:rFonts w:ascii="Calibri" w:eastAsia="宋体" w:hAnsi="Calibri" w:cs="Times New Roman" w:hint="eastAsia"/>
          <w:b/>
          <w:sz w:val="24"/>
          <w:szCs w:val="24"/>
          <w:lang w:val="x-none"/>
        </w:rPr>
        <w:t>补充协议或《融资融券合同》</w:t>
      </w:r>
      <w:r w:rsidRPr="000A0524">
        <w:rPr>
          <w:rFonts w:ascii="Calibri" w:eastAsia="宋体" w:hAnsi="Calibri" w:cs="Times New Roman"/>
          <w:b/>
          <w:sz w:val="24"/>
          <w:szCs w:val="24"/>
          <w:lang w:val="x-none"/>
        </w:rPr>
        <w:t>—</w:t>
      </w:r>
      <w:r w:rsidRPr="000A0524">
        <w:rPr>
          <w:rFonts w:ascii="Calibri" w:eastAsia="宋体" w:hAnsi="Calibri" w:cs="Times New Roman" w:hint="eastAsia"/>
          <w:b/>
          <w:sz w:val="24"/>
          <w:szCs w:val="24"/>
          <w:lang w:val="x-none"/>
        </w:rPr>
        <w:t>科创板融资融券业务补充协议及相关风险揭示书，则甲方签署本</w:t>
      </w:r>
      <w:r w:rsidRPr="000A0524">
        <w:rPr>
          <w:rFonts w:ascii="宋体" w:eastAsia="宋体" w:hAnsi="宋体" w:cs="Times New Roman" w:hint="eastAsia"/>
          <w:b/>
          <w:sz w:val="24"/>
          <w:lang w:val="x-none"/>
        </w:rPr>
        <w:t>合同</w:t>
      </w:r>
      <w:r w:rsidRPr="000A0524">
        <w:rPr>
          <w:rFonts w:ascii="Calibri" w:eastAsia="宋体" w:hAnsi="Calibri" w:cs="Times New Roman" w:hint="eastAsia"/>
          <w:b/>
          <w:sz w:val="24"/>
          <w:szCs w:val="24"/>
          <w:lang w:val="x-none"/>
        </w:rPr>
        <w:t>的同时，应视为一并与乙方签署附件一《融资融券业务合同——信用账户科创板股票交易补充协议》、附件二《</w:t>
      </w:r>
      <w:r w:rsidRPr="000A0524">
        <w:rPr>
          <w:rFonts w:ascii="Calibri" w:eastAsia="宋体" w:hAnsi="Calibri" w:cs="Times New Roman" w:hint="eastAsia"/>
          <w:b/>
          <w:sz w:val="24"/>
          <w:szCs w:val="24"/>
        </w:rPr>
        <w:t>信用账户科创板股票交易风险揭示书</w:t>
      </w:r>
      <w:r w:rsidRPr="000A0524">
        <w:rPr>
          <w:rFonts w:ascii="Calibri" w:eastAsia="宋体" w:hAnsi="Calibri" w:cs="Times New Roman" w:hint="eastAsia"/>
          <w:b/>
          <w:sz w:val="24"/>
          <w:szCs w:val="24"/>
          <w:lang w:val="x-none"/>
        </w:rPr>
        <w:t>》，该补充协议及风险揭示书与本合同同时生效；</w:t>
      </w:r>
    </w:p>
    <w:p w:rsidR="000A0524" w:rsidRPr="000A0524" w:rsidRDefault="000A0524" w:rsidP="000A0524">
      <w:pPr>
        <w:spacing w:line="360" w:lineRule="auto"/>
        <w:ind w:firstLine="482"/>
        <w:rPr>
          <w:rFonts w:ascii="Calibri" w:eastAsia="宋体" w:hAnsi="Calibri" w:cs="Times New Roman"/>
          <w:b/>
          <w:sz w:val="24"/>
          <w:szCs w:val="24"/>
          <w:lang w:val="x-none"/>
        </w:rPr>
      </w:pPr>
      <w:r w:rsidRPr="000A0524">
        <w:rPr>
          <w:rFonts w:ascii="Calibri" w:eastAsia="宋体" w:hAnsi="Calibri" w:cs="Times New Roman" w:hint="eastAsia"/>
          <w:b/>
          <w:sz w:val="24"/>
          <w:szCs w:val="24"/>
          <w:lang w:val="x-none"/>
        </w:rPr>
        <w:t>（</w:t>
      </w:r>
      <w:r w:rsidRPr="000A0524">
        <w:rPr>
          <w:rFonts w:ascii="Calibri" w:eastAsia="宋体" w:hAnsi="Calibri" w:cs="Times New Roman" w:hint="eastAsia"/>
          <w:b/>
          <w:sz w:val="24"/>
          <w:szCs w:val="24"/>
          <w:lang w:val="x-none"/>
        </w:rPr>
        <w:t>3</w:t>
      </w:r>
      <w:r w:rsidRPr="000A0524">
        <w:rPr>
          <w:rFonts w:ascii="Calibri" w:eastAsia="宋体" w:hAnsi="Calibri" w:cs="Times New Roman" w:hint="eastAsia"/>
          <w:b/>
          <w:sz w:val="24"/>
          <w:szCs w:val="24"/>
          <w:lang w:val="x-none"/>
        </w:rPr>
        <w:t>）</w:t>
      </w:r>
      <w:r w:rsidRPr="000A0524">
        <w:rPr>
          <w:rFonts w:ascii="宋体" w:eastAsia="宋体" w:hAnsi="宋体" w:cs="Times New Roman" w:hint="eastAsia"/>
          <w:b/>
          <w:sz w:val="24"/>
          <w:lang w:val="x-none"/>
        </w:rPr>
        <w:t>如本合同签署前，甲方在中金公司已开通信用账户注册制</w:t>
      </w:r>
      <w:r w:rsidRPr="000A0524">
        <w:rPr>
          <w:rFonts w:ascii="Calibri" w:eastAsia="宋体" w:hAnsi="Calibri" w:cs="Times New Roman" w:hint="eastAsia"/>
          <w:b/>
          <w:sz w:val="24"/>
          <w:szCs w:val="24"/>
          <w:lang w:val="x-none"/>
        </w:rPr>
        <w:t>创业板</w:t>
      </w:r>
      <w:r w:rsidRPr="000A0524">
        <w:rPr>
          <w:rFonts w:ascii="宋体" w:eastAsia="宋体" w:hAnsi="宋体" w:cs="Times New Roman" w:hint="eastAsia"/>
          <w:b/>
          <w:sz w:val="24"/>
          <w:lang w:val="x-none"/>
        </w:rPr>
        <w:t>证券</w:t>
      </w:r>
      <w:r w:rsidRPr="000A0524">
        <w:rPr>
          <w:rFonts w:ascii="宋体" w:eastAsia="宋体" w:hAnsi="宋体" w:cs="Times New Roman" w:hint="eastAsia"/>
          <w:b/>
          <w:sz w:val="24"/>
          <w:lang w:val="x-none"/>
        </w:rPr>
        <w:lastRenderedPageBreak/>
        <w:t>交易权限，与中金公司已签署了</w:t>
      </w:r>
      <w:r w:rsidRPr="000A0524">
        <w:rPr>
          <w:rFonts w:ascii="Calibri" w:eastAsia="宋体" w:hAnsi="Calibri" w:cs="Times New Roman" w:hint="eastAsia"/>
          <w:b/>
          <w:sz w:val="24"/>
          <w:szCs w:val="24"/>
          <w:lang w:val="x-none"/>
        </w:rPr>
        <w:t>《融资融券合同》</w:t>
      </w:r>
      <w:r w:rsidRPr="000A0524">
        <w:rPr>
          <w:rFonts w:ascii="Calibri" w:eastAsia="宋体" w:hAnsi="Calibri" w:cs="Times New Roman"/>
          <w:b/>
          <w:sz w:val="24"/>
          <w:szCs w:val="24"/>
          <w:lang w:val="x-none"/>
        </w:rPr>
        <w:t>—</w:t>
      </w:r>
      <w:r w:rsidRPr="000A0524">
        <w:rPr>
          <w:rFonts w:ascii="Calibri" w:eastAsia="宋体" w:hAnsi="Calibri" w:cs="Times New Roman" w:hint="eastAsia"/>
          <w:b/>
          <w:sz w:val="24"/>
          <w:szCs w:val="24"/>
          <w:lang w:val="x-none"/>
        </w:rPr>
        <w:t>创业板融资融券业务补充协议及相关风险揭示书，则甲方签署本</w:t>
      </w:r>
      <w:r w:rsidRPr="000A0524">
        <w:rPr>
          <w:rFonts w:ascii="宋体" w:eastAsia="宋体" w:hAnsi="宋体" w:cs="Times New Roman" w:hint="eastAsia"/>
          <w:b/>
          <w:sz w:val="24"/>
          <w:lang w:val="x-none"/>
        </w:rPr>
        <w:t>合同</w:t>
      </w:r>
      <w:r w:rsidRPr="000A0524">
        <w:rPr>
          <w:rFonts w:ascii="Calibri" w:eastAsia="宋体" w:hAnsi="Calibri" w:cs="Times New Roman" w:hint="eastAsia"/>
          <w:b/>
          <w:sz w:val="24"/>
          <w:szCs w:val="24"/>
          <w:lang w:val="x-none"/>
        </w:rPr>
        <w:t>的同时，应视为一并与乙方签署附件三《融资融券业务合同——创业板融资融券业务补充协议》、附件四《</w:t>
      </w:r>
      <w:bookmarkStart w:id="3" w:name="_Toc274009414"/>
      <w:bookmarkStart w:id="4" w:name="_Toc274150409"/>
      <w:r w:rsidRPr="000A0524">
        <w:rPr>
          <w:rFonts w:ascii="Calibri" w:eastAsia="宋体" w:hAnsi="Calibri" w:cs="Times New Roman" w:hint="eastAsia"/>
          <w:b/>
          <w:sz w:val="24"/>
          <w:szCs w:val="24"/>
        </w:rPr>
        <w:t>创业板融资融券业务风险揭示书</w:t>
      </w:r>
      <w:bookmarkEnd w:id="3"/>
      <w:bookmarkEnd w:id="4"/>
      <w:r w:rsidRPr="000A0524">
        <w:rPr>
          <w:rFonts w:ascii="Calibri" w:eastAsia="宋体" w:hAnsi="Calibri" w:cs="Times New Roman" w:hint="eastAsia"/>
          <w:b/>
          <w:sz w:val="24"/>
          <w:szCs w:val="24"/>
          <w:lang w:val="x-none"/>
        </w:rPr>
        <w:t>》，该补充协议及风险揭示书与本合同同时生效。</w:t>
      </w:r>
    </w:p>
    <w:p w:rsidR="00B334B6" w:rsidRPr="00FE729E" w:rsidRDefault="00B334B6" w:rsidP="000A0524">
      <w:pPr>
        <w:spacing w:line="360" w:lineRule="auto"/>
        <w:ind w:firstLineChars="200" w:firstLine="482"/>
        <w:rPr>
          <w:rFonts w:ascii="Calibri" w:eastAsia="宋体" w:hAnsi="Calibri" w:cs="Times New Roman"/>
          <w:b/>
          <w:sz w:val="24"/>
          <w:szCs w:val="24"/>
          <w:lang w:val="x-none"/>
        </w:rPr>
      </w:pPr>
      <w:r w:rsidRPr="00FE729E">
        <w:rPr>
          <w:rFonts w:ascii="Calibri" w:eastAsia="宋体" w:hAnsi="Calibri" w:cs="Times New Roman" w:hint="eastAsia"/>
          <w:b/>
          <w:sz w:val="24"/>
          <w:szCs w:val="24"/>
          <w:lang w:val="x-none"/>
        </w:rPr>
        <w:t>（</w:t>
      </w:r>
      <w:r w:rsidRPr="00FE729E">
        <w:rPr>
          <w:rFonts w:ascii="Calibri" w:eastAsia="宋体" w:hAnsi="Calibri" w:cs="Times New Roman"/>
          <w:b/>
          <w:sz w:val="24"/>
          <w:szCs w:val="24"/>
          <w:lang w:val="x-none"/>
        </w:rPr>
        <w:t>4</w:t>
      </w:r>
      <w:r w:rsidRPr="00FE729E">
        <w:rPr>
          <w:rFonts w:ascii="Calibri" w:eastAsia="宋体" w:hAnsi="Calibri" w:cs="Times New Roman"/>
          <w:b/>
          <w:sz w:val="24"/>
          <w:szCs w:val="24"/>
          <w:lang w:val="x-none"/>
        </w:rPr>
        <w:t>）中金公司原对甲方享有的融资融券债权全部由乙方承继，且自本合同生效后适用本合同约定。</w:t>
      </w:r>
    </w:p>
    <w:p w:rsidR="000A0524" w:rsidRPr="000A0524" w:rsidRDefault="000A0524" w:rsidP="000A0524">
      <w:pPr>
        <w:spacing w:line="360" w:lineRule="auto"/>
        <w:ind w:firstLineChars="200" w:firstLine="482"/>
        <w:rPr>
          <w:rFonts w:ascii="宋体" w:eastAsia="宋体" w:hAnsi="宋体" w:cs="Times New Roman"/>
          <w:b/>
          <w:sz w:val="24"/>
          <w:lang w:val="x-none"/>
        </w:rPr>
      </w:pPr>
      <w:r w:rsidRPr="000A0524">
        <w:rPr>
          <w:rFonts w:ascii="Calibri" w:eastAsia="宋体" w:hAnsi="Calibri" w:cs="Times New Roman" w:hint="eastAsia"/>
          <w:b/>
          <w:sz w:val="24"/>
          <w:szCs w:val="24"/>
          <w:lang w:val="x-none"/>
        </w:rPr>
        <w:t>本条不适用于非从中金公司因业务整合迁移至乙方的客户。</w:t>
      </w:r>
    </w:p>
    <w:p w:rsidR="000A0524" w:rsidRPr="000A0524" w:rsidRDefault="000A0524" w:rsidP="000A0524">
      <w:pPr>
        <w:numPr>
          <w:ilvl w:val="1"/>
          <w:numId w:val="3"/>
        </w:numPr>
        <w:spacing w:line="360" w:lineRule="auto"/>
        <w:rPr>
          <w:rFonts w:ascii="宋体" w:eastAsia="宋体" w:hAnsi="宋体" w:cs="Times New Roman"/>
          <w:sz w:val="24"/>
        </w:rPr>
      </w:pPr>
    </w:p>
    <w:p w:rsidR="000A0524" w:rsidRPr="000A0524" w:rsidRDefault="000A0524" w:rsidP="000A0524">
      <w:pPr>
        <w:spacing w:line="360" w:lineRule="auto"/>
        <w:outlineLvl w:val="0"/>
        <w:rPr>
          <w:rFonts w:ascii="宋体" w:eastAsia="宋体" w:hAnsi="宋体" w:cs="Times New Roman"/>
          <w:sz w:val="24"/>
        </w:rPr>
      </w:pPr>
      <w:r w:rsidRPr="000A0524">
        <w:rPr>
          <w:rFonts w:ascii="宋体" w:eastAsia="宋体" w:hAnsi="宋体" w:cs="Times New Roman" w:hint="eastAsia"/>
          <w:b/>
          <w:sz w:val="24"/>
        </w:rPr>
        <w:t xml:space="preserve">  </w:t>
      </w:r>
      <w:r w:rsidRPr="000A0524">
        <w:rPr>
          <w:rFonts w:ascii="宋体" w:eastAsia="宋体" w:hAnsi="宋体" w:cs="Times New Roman" w:hint="eastAsia"/>
          <w:sz w:val="24"/>
        </w:rPr>
        <w:t xml:space="preserve"> （一）发生下列情形之一（包括但不限于）的，合同自该情形出现时终止：</w:t>
      </w:r>
    </w:p>
    <w:p w:rsidR="000A0524" w:rsidRPr="000A0524" w:rsidRDefault="000A0524" w:rsidP="000A0524">
      <w:pPr>
        <w:numPr>
          <w:ilvl w:val="0"/>
          <w:numId w:val="18"/>
        </w:numPr>
        <w:tabs>
          <w:tab w:val="left" w:pos="1080"/>
        </w:tabs>
        <w:spacing w:line="360" w:lineRule="auto"/>
        <w:rPr>
          <w:rFonts w:ascii="宋体" w:eastAsia="宋体" w:hAnsi="宋体" w:cs="Times New Roman"/>
          <w:sz w:val="24"/>
        </w:rPr>
      </w:pPr>
      <w:r w:rsidRPr="000A0524">
        <w:rPr>
          <w:rFonts w:ascii="宋体" w:eastAsia="宋体" w:hAnsi="宋体" w:cs="Times New Roman" w:hint="eastAsia"/>
          <w:sz w:val="24"/>
        </w:rPr>
        <w:t>合同期满且不再延续；</w:t>
      </w:r>
    </w:p>
    <w:p w:rsidR="000A0524" w:rsidRPr="000A0524" w:rsidRDefault="000A0524" w:rsidP="000A0524">
      <w:pPr>
        <w:numPr>
          <w:ilvl w:val="0"/>
          <w:numId w:val="18"/>
        </w:numPr>
        <w:tabs>
          <w:tab w:val="left" w:pos="1080"/>
        </w:tabs>
        <w:spacing w:line="360" w:lineRule="auto"/>
        <w:rPr>
          <w:rFonts w:ascii="宋体" w:eastAsia="宋体" w:hAnsi="宋体" w:cs="Times New Roman"/>
          <w:sz w:val="24"/>
        </w:rPr>
      </w:pPr>
      <w:r w:rsidRPr="000A0524">
        <w:rPr>
          <w:rFonts w:ascii="宋体" w:eastAsia="宋体" w:hAnsi="宋体" w:cs="Times New Roman" w:hint="eastAsia"/>
          <w:sz w:val="24"/>
        </w:rPr>
        <w:t>甲方全部了结在乙方的融资融券交易并且办理完毕信用证券账户和信用资金账户注销手续；</w:t>
      </w:r>
    </w:p>
    <w:p w:rsidR="000A0524" w:rsidRPr="000A0524" w:rsidRDefault="000A0524" w:rsidP="000A0524">
      <w:pPr>
        <w:numPr>
          <w:ilvl w:val="0"/>
          <w:numId w:val="18"/>
        </w:numPr>
        <w:tabs>
          <w:tab w:val="left" w:pos="1080"/>
        </w:tabs>
        <w:spacing w:line="360" w:lineRule="auto"/>
        <w:rPr>
          <w:rFonts w:ascii="宋体" w:eastAsia="宋体" w:hAnsi="宋体" w:cs="Times New Roman"/>
          <w:sz w:val="24"/>
        </w:rPr>
      </w:pPr>
      <w:r w:rsidRPr="000A0524">
        <w:rPr>
          <w:rFonts w:ascii="宋体" w:eastAsia="宋体" w:hAnsi="宋体" w:cs="Times New Roman" w:hint="eastAsia"/>
          <w:sz w:val="24"/>
        </w:rPr>
        <w:t>甲方死亡、被宣告失踪或丧失民事行为能力；</w:t>
      </w:r>
    </w:p>
    <w:p w:rsidR="000A0524" w:rsidRPr="000A0524" w:rsidRDefault="000A0524" w:rsidP="000A0524">
      <w:pPr>
        <w:numPr>
          <w:ilvl w:val="0"/>
          <w:numId w:val="18"/>
        </w:numPr>
        <w:tabs>
          <w:tab w:val="left" w:pos="1080"/>
        </w:tabs>
        <w:spacing w:line="360" w:lineRule="auto"/>
        <w:rPr>
          <w:rFonts w:ascii="宋体" w:eastAsia="宋体" w:hAnsi="宋体" w:cs="Times New Roman"/>
          <w:sz w:val="24"/>
        </w:rPr>
      </w:pPr>
      <w:r w:rsidRPr="000A0524">
        <w:rPr>
          <w:rFonts w:ascii="宋体" w:eastAsia="宋体" w:hAnsi="宋体" w:cs="Times New Roman" w:hint="eastAsia"/>
          <w:sz w:val="24"/>
        </w:rPr>
        <w:t>甲方停业或出现法定解散事由；或被人民法院宣告进入破产程序或解散；</w:t>
      </w:r>
    </w:p>
    <w:p w:rsidR="000A0524" w:rsidRPr="000A0524" w:rsidRDefault="000A0524" w:rsidP="000A0524">
      <w:pPr>
        <w:numPr>
          <w:ilvl w:val="0"/>
          <w:numId w:val="18"/>
        </w:numPr>
        <w:tabs>
          <w:tab w:val="left" w:pos="1080"/>
        </w:tabs>
        <w:spacing w:line="360" w:lineRule="auto"/>
        <w:rPr>
          <w:rFonts w:ascii="宋体" w:eastAsia="宋体" w:hAnsi="宋体" w:cs="Times New Roman"/>
          <w:sz w:val="24"/>
        </w:rPr>
      </w:pPr>
      <w:r w:rsidRPr="000A0524">
        <w:rPr>
          <w:rFonts w:ascii="宋体" w:eastAsia="宋体" w:hAnsi="宋体" w:cs="Times New Roman" w:hint="eastAsia"/>
          <w:sz w:val="24"/>
        </w:rPr>
        <w:t>乙方被证券监管机关暂停或取消业务资格、停业整顿、责令关闭、撤销；</w:t>
      </w:r>
    </w:p>
    <w:p w:rsidR="000A0524" w:rsidRPr="000A0524" w:rsidRDefault="000A0524" w:rsidP="000A0524">
      <w:pPr>
        <w:numPr>
          <w:ilvl w:val="0"/>
          <w:numId w:val="18"/>
        </w:numPr>
        <w:tabs>
          <w:tab w:val="left" w:pos="1080"/>
        </w:tabs>
        <w:spacing w:line="360" w:lineRule="auto"/>
        <w:rPr>
          <w:rFonts w:ascii="宋体" w:eastAsia="宋体" w:hAnsi="宋体" w:cs="Times New Roman"/>
          <w:sz w:val="24"/>
        </w:rPr>
      </w:pPr>
      <w:r w:rsidRPr="000A0524">
        <w:rPr>
          <w:rFonts w:ascii="宋体" w:eastAsia="宋体" w:hAnsi="宋体" w:cs="Times New Roman" w:hint="eastAsia"/>
          <w:sz w:val="24"/>
        </w:rPr>
        <w:t>乙方被人民法院宣告进入破产程序或解散；</w:t>
      </w:r>
    </w:p>
    <w:p w:rsidR="000A0524" w:rsidRPr="000A0524" w:rsidRDefault="000A0524" w:rsidP="000A0524">
      <w:pPr>
        <w:numPr>
          <w:ilvl w:val="0"/>
          <w:numId w:val="18"/>
        </w:numPr>
        <w:tabs>
          <w:tab w:val="left" w:pos="1080"/>
        </w:tabs>
        <w:spacing w:line="360" w:lineRule="auto"/>
        <w:rPr>
          <w:rFonts w:ascii="宋体" w:eastAsia="宋体" w:hAnsi="宋体" w:cs="Times New Roman"/>
          <w:sz w:val="24"/>
        </w:rPr>
      </w:pPr>
      <w:r w:rsidRPr="000A0524">
        <w:rPr>
          <w:rFonts w:ascii="宋体" w:eastAsia="宋体" w:hAnsi="宋体" w:cs="Times New Roman" w:hint="eastAsia"/>
          <w:sz w:val="24"/>
        </w:rPr>
        <w:t>融资融券业务整体被证监会、证券交易所等有权机构停止；</w:t>
      </w:r>
    </w:p>
    <w:p w:rsidR="000A0524" w:rsidRPr="000A0524" w:rsidRDefault="000A0524" w:rsidP="000A0524">
      <w:pPr>
        <w:numPr>
          <w:ilvl w:val="0"/>
          <w:numId w:val="18"/>
        </w:numPr>
        <w:tabs>
          <w:tab w:val="left" w:pos="1080"/>
        </w:tabs>
        <w:spacing w:line="360" w:lineRule="auto"/>
        <w:rPr>
          <w:rFonts w:ascii="宋体" w:eastAsia="宋体" w:hAnsi="宋体" w:cs="Times New Roman"/>
          <w:sz w:val="24"/>
        </w:rPr>
      </w:pPr>
      <w:r w:rsidRPr="000A0524">
        <w:rPr>
          <w:rFonts w:ascii="宋体" w:eastAsia="宋体" w:hAnsi="宋体" w:cs="Times New Roman" w:hint="eastAsia"/>
          <w:sz w:val="24"/>
        </w:rPr>
        <w:t>其他法定或者约定的合同终止情形。</w:t>
      </w:r>
    </w:p>
    <w:p w:rsidR="000A0524" w:rsidRPr="000A0524" w:rsidRDefault="000A0524" w:rsidP="000A0524">
      <w:pPr>
        <w:tabs>
          <w:tab w:val="left" w:pos="1080"/>
        </w:tabs>
        <w:spacing w:line="360" w:lineRule="auto"/>
        <w:ind w:firstLineChars="200" w:firstLine="480"/>
        <w:rPr>
          <w:rFonts w:ascii="宋体" w:eastAsia="宋体" w:hAnsi="宋体" w:cs="Times New Roman"/>
          <w:sz w:val="24"/>
        </w:rPr>
      </w:pPr>
      <w:r w:rsidRPr="000A0524">
        <w:rPr>
          <w:rFonts w:ascii="宋体" w:eastAsia="宋体" w:hAnsi="宋体" w:cs="Times New Roman" w:hint="eastAsia"/>
          <w:sz w:val="24"/>
        </w:rPr>
        <w:t>发生上述第3、4种情形的，已发生的融资融券交易仍然有效。其尚未了结的融资融券交易应由其合法继承人或相关权利人向乙方申请了解融资融券交易、终止本合同，在甲方融资融券交易了结前，乙方有权限制甲方信用证券账户开展新的融资融券交易。债务清偿后，合法继承人或相关权利人可将剩余的资金和证券划转至甲方普通资金账户和普通证券账户，并按照法定程序办理相关手续。 甲方融资融券到期日前无上述合法继承人或相关权利人向乙方提出了结交易申请的，或甲方信用账户满足本合同规定的强制平仓条件的，乙方有权按照本合同的有关约定进行强制平仓。</w:t>
      </w:r>
    </w:p>
    <w:p w:rsidR="000A0524" w:rsidRPr="000A0524" w:rsidRDefault="000A0524" w:rsidP="000A0524">
      <w:pPr>
        <w:tabs>
          <w:tab w:val="left" w:pos="1080"/>
        </w:tabs>
        <w:spacing w:line="360" w:lineRule="auto"/>
        <w:ind w:firstLineChars="200" w:firstLine="480"/>
        <w:rPr>
          <w:rFonts w:ascii="宋体" w:eastAsia="宋体" w:hAnsi="宋体" w:cs="Times New Roman"/>
          <w:sz w:val="24"/>
        </w:rPr>
      </w:pPr>
      <w:r w:rsidRPr="000A0524">
        <w:rPr>
          <w:rFonts w:ascii="宋体" w:eastAsia="宋体" w:hAnsi="宋体" w:cs="Times New Roman" w:hint="eastAsia"/>
          <w:sz w:val="24"/>
        </w:rPr>
        <w:t>发生上述第5、6、7种情形的，乙方将停止继续开展融资融券业务，但已发</w:t>
      </w:r>
      <w:r w:rsidRPr="000A0524">
        <w:rPr>
          <w:rFonts w:ascii="宋体" w:eastAsia="宋体" w:hAnsi="宋体" w:cs="Times New Roman" w:hint="eastAsia"/>
          <w:sz w:val="24"/>
        </w:rPr>
        <w:lastRenderedPageBreak/>
        <w:t>生的融资融券交易仍然有效直至正常到期后甲方归还所有债务为止。但如有权机关另行规定或依据有权机关通知，上述融资融券交易应当提前到期的，甲方须配合提前偿还债务，否则乙方有权根据本合同进行强制平仓。</w:t>
      </w:r>
    </w:p>
    <w:p w:rsidR="000A0524" w:rsidRPr="00B371F8" w:rsidRDefault="000A0524" w:rsidP="000A0524">
      <w:pPr>
        <w:tabs>
          <w:tab w:val="left" w:pos="1080"/>
        </w:tabs>
        <w:spacing w:line="360" w:lineRule="auto"/>
        <w:ind w:firstLineChars="200" w:firstLine="480"/>
        <w:outlineLvl w:val="0"/>
        <w:rPr>
          <w:rFonts w:ascii="宋体" w:eastAsia="宋体" w:hAnsi="宋体" w:cs="Times New Roman"/>
          <w:b/>
          <w:sz w:val="24"/>
        </w:rPr>
      </w:pPr>
      <w:r w:rsidRPr="000A0524">
        <w:rPr>
          <w:rFonts w:ascii="宋体" w:eastAsia="宋体" w:hAnsi="宋体" w:cs="Times New Roman" w:hint="eastAsia"/>
          <w:sz w:val="24"/>
        </w:rPr>
        <w:t>（二）</w:t>
      </w:r>
      <w:r w:rsidRPr="00B371F8">
        <w:rPr>
          <w:rFonts w:ascii="宋体" w:eastAsia="宋体" w:hAnsi="宋体" w:cs="Times New Roman" w:hint="eastAsia"/>
          <w:b/>
          <w:sz w:val="24"/>
        </w:rPr>
        <w:t>发生以下情形之一的，乙方有权以书面通知的形式提前解除本合同，要求甲方在乙方通知中规定的期限偿还融资融券债务，解除合同的通知自到达之日生效。</w:t>
      </w:r>
    </w:p>
    <w:p w:rsidR="000A0524" w:rsidRPr="00B371F8" w:rsidRDefault="000A0524" w:rsidP="00B371F8">
      <w:pPr>
        <w:tabs>
          <w:tab w:val="left" w:pos="1080"/>
        </w:tabs>
        <w:spacing w:line="360" w:lineRule="auto"/>
        <w:ind w:firstLineChars="200" w:firstLine="482"/>
        <w:rPr>
          <w:rFonts w:ascii="宋体" w:eastAsia="宋体" w:hAnsi="宋体" w:cs="Times New Roman"/>
          <w:b/>
          <w:sz w:val="24"/>
        </w:rPr>
      </w:pPr>
      <w:r w:rsidRPr="00B371F8">
        <w:rPr>
          <w:rFonts w:ascii="宋体" w:eastAsia="宋体" w:hAnsi="宋体" w:cs="Times New Roman"/>
          <w:b/>
          <w:sz w:val="24"/>
        </w:rPr>
        <w:t>1</w:t>
      </w:r>
      <w:r w:rsidRPr="00B371F8">
        <w:rPr>
          <w:rFonts w:ascii="宋体" w:eastAsia="宋体" w:hAnsi="宋体" w:cs="Times New Roman" w:hint="eastAsia"/>
          <w:b/>
          <w:sz w:val="24"/>
        </w:rPr>
        <w:t>、甲方违反本合同中声明与保证事项；</w:t>
      </w:r>
    </w:p>
    <w:p w:rsidR="000A0524" w:rsidRPr="00B371F8" w:rsidRDefault="000A0524" w:rsidP="00B371F8">
      <w:pPr>
        <w:tabs>
          <w:tab w:val="left" w:pos="1080"/>
        </w:tabs>
        <w:spacing w:line="360" w:lineRule="auto"/>
        <w:ind w:firstLineChars="200" w:firstLine="482"/>
        <w:rPr>
          <w:rFonts w:ascii="宋体" w:eastAsia="宋体" w:hAnsi="宋体" w:cs="Times New Roman"/>
          <w:b/>
          <w:sz w:val="24"/>
        </w:rPr>
      </w:pPr>
      <w:r w:rsidRPr="00B371F8">
        <w:rPr>
          <w:rFonts w:ascii="宋体" w:eastAsia="宋体" w:hAnsi="宋体" w:cs="Times New Roman"/>
          <w:b/>
          <w:sz w:val="24"/>
        </w:rPr>
        <w:t>2、</w:t>
      </w:r>
      <w:r w:rsidRPr="00B371F8">
        <w:rPr>
          <w:rFonts w:ascii="宋体" w:eastAsia="宋体" w:hAnsi="宋体" w:cs="Times New Roman" w:hint="eastAsia"/>
          <w:b/>
          <w:sz w:val="24"/>
        </w:rPr>
        <w:t>根据本合同约定乙方在强制平仓后认为应当解除本合同的；</w:t>
      </w:r>
    </w:p>
    <w:p w:rsidR="000A0524" w:rsidRPr="00B371F8" w:rsidRDefault="000A0524" w:rsidP="00B371F8">
      <w:pPr>
        <w:tabs>
          <w:tab w:val="left" w:pos="1080"/>
        </w:tabs>
        <w:spacing w:line="360" w:lineRule="auto"/>
        <w:ind w:firstLineChars="200" w:firstLine="482"/>
        <w:rPr>
          <w:rFonts w:ascii="宋体" w:eastAsia="宋体" w:hAnsi="宋体" w:cs="Times New Roman"/>
          <w:b/>
          <w:sz w:val="24"/>
        </w:rPr>
      </w:pPr>
      <w:r w:rsidRPr="00B371F8">
        <w:rPr>
          <w:rFonts w:ascii="宋体" w:eastAsia="宋体" w:hAnsi="宋体" w:cs="Times New Roman"/>
          <w:b/>
          <w:sz w:val="24"/>
        </w:rPr>
        <w:t>3</w:t>
      </w:r>
      <w:r w:rsidRPr="00B371F8">
        <w:rPr>
          <w:rFonts w:ascii="宋体" w:eastAsia="宋体" w:hAnsi="宋体" w:cs="Times New Roman" w:hint="eastAsia"/>
          <w:b/>
          <w:sz w:val="24"/>
        </w:rPr>
        <w:t>、甲方不再符合作为乙方融资融券业务客户的标准；</w:t>
      </w:r>
    </w:p>
    <w:p w:rsidR="000A0524" w:rsidRPr="00B371F8" w:rsidRDefault="000A0524" w:rsidP="00B371F8">
      <w:pPr>
        <w:tabs>
          <w:tab w:val="left" w:pos="1080"/>
        </w:tabs>
        <w:spacing w:line="360" w:lineRule="auto"/>
        <w:ind w:firstLineChars="200" w:firstLine="482"/>
        <w:rPr>
          <w:rFonts w:ascii="宋体" w:eastAsia="宋体" w:hAnsi="宋体" w:cs="Times New Roman"/>
          <w:b/>
          <w:sz w:val="24"/>
        </w:rPr>
      </w:pPr>
      <w:r w:rsidRPr="00B371F8">
        <w:rPr>
          <w:rFonts w:ascii="宋体" w:eastAsia="宋体" w:hAnsi="宋体" w:cs="Times New Roman"/>
          <w:b/>
          <w:sz w:val="24"/>
        </w:rPr>
        <w:t>4、甲方有严重损害乙方合法权益、影响其正常经营秩序的行为；</w:t>
      </w:r>
    </w:p>
    <w:p w:rsidR="000A0524" w:rsidRPr="00B371F8" w:rsidRDefault="000A0524" w:rsidP="00B371F8">
      <w:pPr>
        <w:tabs>
          <w:tab w:val="left" w:pos="1080"/>
        </w:tabs>
        <w:spacing w:line="360" w:lineRule="auto"/>
        <w:ind w:firstLineChars="200" w:firstLine="482"/>
        <w:rPr>
          <w:rFonts w:ascii="宋体" w:eastAsia="宋体" w:hAnsi="宋体" w:cs="Times New Roman"/>
          <w:b/>
          <w:sz w:val="24"/>
        </w:rPr>
      </w:pPr>
      <w:r w:rsidRPr="00B371F8">
        <w:rPr>
          <w:rFonts w:ascii="宋体" w:eastAsia="宋体" w:hAnsi="宋体" w:cs="Times New Roman"/>
          <w:b/>
          <w:sz w:val="24"/>
        </w:rPr>
        <w:t>5</w:t>
      </w:r>
      <w:r w:rsidRPr="00B371F8">
        <w:rPr>
          <w:rFonts w:ascii="宋体" w:eastAsia="宋体" w:hAnsi="宋体" w:cs="Times New Roman" w:hint="eastAsia"/>
          <w:b/>
          <w:sz w:val="24"/>
        </w:rPr>
        <w:t>、甲方违反证券交易所规则，进行违法违规交易的；</w:t>
      </w:r>
    </w:p>
    <w:p w:rsidR="000A0524" w:rsidRPr="00B371F8" w:rsidRDefault="000A0524" w:rsidP="00B371F8">
      <w:pPr>
        <w:tabs>
          <w:tab w:val="left" w:pos="1080"/>
        </w:tabs>
        <w:spacing w:line="360" w:lineRule="auto"/>
        <w:ind w:firstLineChars="200" w:firstLine="482"/>
        <w:rPr>
          <w:rFonts w:ascii="宋体" w:eastAsia="宋体" w:hAnsi="宋体" w:cs="Times New Roman"/>
          <w:b/>
          <w:sz w:val="24"/>
        </w:rPr>
      </w:pPr>
      <w:r w:rsidRPr="00B371F8">
        <w:rPr>
          <w:rFonts w:ascii="宋体" w:eastAsia="宋体" w:hAnsi="宋体" w:cs="Times New Roman"/>
          <w:b/>
          <w:sz w:val="24"/>
        </w:rPr>
        <w:t>6、甲方违法违规使用其信用证券账户和信用资金账户；</w:t>
      </w:r>
    </w:p>
    <w:p w:rsidR="000A0524" w:rsidRPr="00B371F8" w:rsidRDefault="000A0524" w:rsidP="00B371F8">
      <w:pPr>
        <w:tabs>
          <w:tab w:val="left" w:pos="1080"/>
        </w:tabs>
        <w:spacing w:line="360" w:lineRule="auto"/>
        <w:ind w:firstLineChars="200" w:firstLine="482"/>
        <w:rPr>
          <w:rFonts w:ascii="宋体" w:eastAsia="宋体" w:hAnsi="宋体" w:cs="Times New Roman"/>
          <w:b/>
          <w:sz w:val="24"/>
        </w:rPr>
      </w:pPr>
      <w:r w:rsidRPr="00B371F8">
        <w:rPr>
          <w:rFonts w:ascii="宋体" w:eastAsia="宋体" w:hAnsi="宋体" w:cs="Times New Roman"/>
          <w:b/>
          <w:sz w:val="24"/>
        </w:rPr>
        <w:t>7、甲方存在严重影响正常交易秩序的异常交易行为；</w:t>
      </w:r>
    </w:p>
    <w:p w:rsidR="000A0524" w:rsidRPr="00B371F8" w:rsidRDefault="000A0524" w:rsidP="00B371F8">
      <w:pPr>
        <w:tabs>
          <w:tab w:val="left" w:pos="1080"/>
        </w:tabs>
        <w:spacing w:line="360" w:lineRule="auto"/>
        <w:ind w:firstLineChars="200" w:firstLine="482"/>
        <w:rPr>
          <w:rFonts w:ascii="宋体" w:eastAsia="宋体" w:hAnsi="宋体" w:cs="Times New Roman"/>
          <w:b/>
          <w:sz w:val="24"/>
        </w:rPr>
      </w:pPr>
      <w:r w:rsidRPr="00B371F8">
        <w:rPr>
          <w:rFonts w:ascii="宋体" w:eastAsia="宋体" w:hAnsi="宋体" w:cs="Times New Roman"/>
          <w:b/>
          <w:sz w:val="24"/>
        </w:rPr>
        <w:t>8、甲方信用账户中担保证券、融资融券标的证券的发行主体或关联方出现风险事件，包括但不限于业绩大幅波动，股价跌停、负面新闻、涉嫌违法违规、经营出现严重困难或者其他有可能造成股价较大幅度下跌事件；</w:t>
      </w:r>
    </w:p>
    <w:p w:rsidR="000A0524" w:rsidRPr="00B371F8" w:rsidRDefault="000A0524" w:rsidP="00B371F8">
      <w:pPr>
        <w:tabs>
          <w:tab w:val="left" w:pos="1080"/>
        </w:tabs>
        <w:spacing w:line="360" w:lineRule="auto"/>
        <w:ind w:firstLineChars="200" w:firstLine="482"/>
        <w:rPr>
          <w:rFonts w:ascii="宋体" w:eastAsia="宋体" w:hAnsi="宋体" w:cs="Times New Roman"/>
          <w:b/>
          <w:sz w:val="24"/>
        </w:rPr>
      </w:pPr>
      <w:r w:rsidRPr="00B371F8">
        <w:rPr>
          <w:rFonts w:ascii="宋体" w:eastAsia="宋体" w:hAnsi="宋体" w:cs="Times New Roman"/>
          <w:b/>
          <w:sz w:val="24"/>
        </w:rPr>
        <w:t>9、甲方经营出现严重困难，或财务状况恶化，或出现未能按约定清偿债务的情形，或发生对甲方经营、财务状况或偿债能力或经济状况有负面影响的其他事件的；</w:t>
      </w:r>
    </w:p>
    <w:p w:rsidR="000A0524" w:rsidRPr="00B371F8" w:rsidRDefault="000A0524" w:rsidP="00B371F8">
      <w:pPr>
        <w:tabs>
          <w:tab w:val="left" w:pos="1080"/>
        </w:tabs>
        <w:spacing w:line="360" w:lineRule="auto"/>
        <w:ind w:firstLineChars="200" w:firstLine="482"/>
        <w:rPr>
          <w:rFonts w:ascii="宋体" w:eastAsia="宋体" w:hAnsi="宋体" w:cs="Times New Roman"/>
          <w:b/>
          <w:sz w:val="24"/>
        </w:rPr>
      </w:pPr>
      <w:r w:rsidRPr="00B371F8">
        <w:rPr>
          <w:rFonts w:ascii="宋体" w:eastAsia="宋体" w:hAnsi="宋体" w:cs="Times New Roman"/>
          <w:b/>
          <w:sz w:val="24"/>
        </w:rPr>
        <w:t>10</w:t>
      </w:r>
      <w:r w:rsidRPr="00B371F8">
        <w:rPr>
          <w:rFonts w:ascii="宋体" w:eastAsia="宋体" w:hAnsi="宋体" w:cs="Times New Roman" w:hint="eastAsia"/>
          <w:b/>
          <w:sz w:val="24"/>
        </w:rPr>
        <w:t>、继续履行本合同可能对乙方造成经济损失或声誉风险、法律合规风险；</w:t>
      </w:r>
    </w:p>
    <w:p w:rsidR="000A0524" w:rsidRPr="00B371F8" w:rsidRDefault="000A0524" w:rsidP="00B371F8">
      <w:pPr>
        <w:tabs>
          <w:tab w:val="left" w:pos="1080"/>
        </w:tabs>
        <w:spacing w:line="360" w:lineRule="auto"/>
        <w:ind w:firstLineChars="200" w:firstLine="482"/>
        <w:rPr>
          <w:rFonts w:ascii="宋体" w:eastAsia="宋体" w:hAnsi="宋体" w:cs="Times New Roman"/>
          <w:b/>
          <w:sz w:val="24"/>
        </w:rPr>
      </w:pPr>
      <w:r w:rsidRPr="00B371F8">
        <w:rPr>
          <w:rFonts w:ascii="宋体" w:eastAsia="宋体" w:hAnsi="宋体" w:cs="Times New Roman"/>
          <w:b/>
          <w:sz w:val="24"/>
        </w:rPr>
        <w:t>11</w:t>
      </w:r>
      <w:r w:rsidRPr="00B371F8">
        <w:rPr>
          <w:rFonts w:ascii="宋体" w:eastAsia="宋体" w:hAnsi="宋体" w:cs="Times New Roman" w:hint="eastAsia"/>
          <w:b/>
          <w:sz w:val="24"/>
        </w:rPr>
        <w:t>、法律、法规规定、本合同约定的其他情形，及其他乙方认为需要解除本合同的情形。</w:t>
      </w:r>
    </w:p>
    <w:p w:rsidR="000A0524" w:rsidRPr="00B371F8" w:rsidRDefault="000A0524" w:rsidP="00B371F8">
      <w:pPr>
        <w:tabs>
          <w:tab w:val="left" w:pos="1080"/>
        </w:tabs>
        <w:spacing w:line="360" w:lineRule="auto"/>
        <w:ind w:firstLineChars="200" w:firstLine="482"/>
        <w:rPr>
          <w:rFonts w:ascii="宋体" w:eastAsia="宋体" w:hAnsi="宋体" w:cs="Times New Roman"/>
          <w:b/>
          <w:sz w:val="24"/>
        </w:rPr>
      </w:pPr>
      <w:r w:rsidRPr="00B371F8">
        <w:rPr>
          <w:rFonts w:ascii="宋体" w:eastAsia="宋体" w:hAnsi="宋体" w:cs="Times New Roman" w:hint="eastAsia"/>
          <w:b/>
          <w:sz w:val="24"/>
        </w:rPr>
        <w:t>本合同因上述情形解除的，甲方应当按照乙方通知中规定的期限偿还债务，否则乙方有权根据本合同进行强制平仓。</w:t>
      </w:r>
      <w:r w:rsidRPr="00B371F8">
        <w:rPr>
          <w:rFonts w:ascii="宋体" w:eastAsia="宋体" w:hAnsi="宋体" w:cs="Times New Roman"/>
          <w:b/>
          <w:sz w:val="24"/>
        </w:rPr>
        <w:t xml:space="preserve"> </w:t>
      </w:r>
    </w:p>
    <w:p w:rsidR="000A0524" w:rsidRPr="000A0524" w:rsidRDefault="000A0524" w:rsidP="000A0524">
      <w:pPr>
        <w:spacing w:line="360" w:lineRule="auto"/>
        <w:ind w:firstLineChars="200" w:firstLine="480"/>
        <w:rPr>
          <w:rFonts w:ascii="宋体" w:eastAsia="宋体" w:hAnsi="宋体" w:cs="Times New Roman"/>
          <w:sz w:val="24"/>
        </w:rPr>
      </w:pPr>
      <w:r w:rsidRPr="000A0524">
        <w:rPr>
          <w:rFonts w:ascii="宋体" w:eastAsia="宋体" w:hAnsi="宋体" w:cs="Times New Roman" w:hint="eastAsia"/>
          <w:sz w:val="24"/>
        </w:rPr>
        <w:t xml:space="preserve">（三）本合同的终止不影响合同终止前对甲方尚未了结的交易或尚未清偿债务的处理，本合同中相关条款对双方继续具有法律约束力。  </w:t>
      </w:r>
    </w:p>
    <w:p w:rsidR="000A0524" w:rsidRPr="000A0524" w:rsidRDefault="000A0524" w:rsidP="000A0524">
      <w:pPr>
        <w:numPr>
          <w:ilvl w:val="1"/>
          <w:numId w:val="3"/>
        </w:numPr>
        <w:spacing w:line="360" w:lineRule="auto"/>
        <w:rPr>
          <w:rFonts w:ascii="宋体" w:eastAsia="宋体" w:hAnsi="宋体" w:cs="Times New Roman"/>
          <w:b/>
          <w:sz w:val="24"/>
        </w:rPr>
      </w:pPr>
      <w:r w:rsidRPr="000A0524">
        <w:rPr>
          <w:rFonts w:ascii="宋体" w:eastAsia="宋体" w:hAnsi="宋体" w:cs="宋体" w:hint="eastAsia"/>
          <w:kern w:val="0"/>
          <w:sz w:val="24"/>
          <w:szCs w:val="24"/>
        </w:rPr>
        <w:t xml:space="preserve"> </w:t>
      </w:r>
      <w:r w:rsidRPr="000A0524">
        <w:rPr>
          <w:rFonts w:ascii="宋体" w:eastAsia="宋体" w:hAnsi="宋体" w:cs="宋体"/>
          <w:b/>
          <w:kern w:val="0"/>
          <w:sz w:val="24"/>
          <w:szCs w:val="24"/>
        </w:rPr>
        <w:t>乙方有权在</w:t>
      </w:r>
      <w:r w:rsidRPr="000A0524">
        <w:rPr>
          <w:rFonts w:ascii="宋体" w:eastAsia="宋体" w:hAnsi="宋体" w:cs="宋体" w:hint="eastAsia"/>
          <w:b/>
          <w:kern w:val="0"/>
          <w:sz w:val="24"/>
          <w:szCs w:val="24"/>
        </w:rPr>
        <w:t>不违反</w:t>
      </w:r>
      <w:r w:rsidRPr="000A0524">
        <w:rPr>
          <w:rFonts w:ascii="宋体" w:eastAsia="宋体" w:hAnsi="宋体" w:cs="宋体"/>
          <w:b/>
          <w:kern w:val="0"/>
          <w:sz w:val="24"/>
          <w:szCs w:val="24"/>
        </w:rPr>
        <w:t>政策法规规定的前提下单方自主修改本合同，修改内容由乙方在其营业场所</w:t>
      </w:r>
      <w:r w:rsidRPr="000A0524">
        <w:rPr>
          <w:rFonts w:ascii="宋体" w:eastAsia="宋体" w:hAnsi="宋体" w:cs="宋体" w:hint="eastAsia"/>
          <w:b/>
          <w:kern w:val="0"/>
          <w:sz w:val="24"/>
          <w:szCs w:val="24"/>
        </w:rPr>
        <w:t>、</w:t>
      </w:r>
      <w:r w:rsidRPr="000A0524">
        <w:rPr>
          <w:rFonts w:ascii="宋体" w:eastAsia="宋体" w:hAnsi="宋体" w:cs="宋体"/>
          <w:b/>
          <w:kern w:val="0"/>
          <w:sz w:val="24"/>
          <w:szCs w:val="24"/>
        </w:rPr>
        <w:t>网站</w:t>
      </w:r>
      <w:r w:rsidRPr="000A0524">
        <w:rPr>
          <w:rFonts w:ascii="宋体" w:eastAsia="宋体" w:hAnsi="宋体" w:cs="宋体" w:hint="eastAsia"/>
          <w:b/>
          <w:kern w:val="0"/>
          <w:sz w:val="24"/>
          <w:szCs w:val="24"/>
        </w:rPr>
        <w:t>或</w:t>
      </w:r>
      <w:r w:rsidRPr="000A0524">
        <w:rPr>
          <w:rFonts w:ascii="宋体" w:eastAsia="宋体" w:hAnsi="宋体" w:cs="宋体"/>
          <w:b/>
          <w:kern w:val="0"/>
          <w:sz w:val="24"/>
          <w:szCs w:val="24"/>
        </w:rPr>
        <w:t>交易系统</w:t>
      </w:r>
      <w:r w:rsidRPr="000A0524">
        <w:rPr>
          <w:rFonts w:ascii="宋体" w:eastAsia="宋体" w:hAnsi="宋体" w:cs="宋体" w:hint="eastAsia"/>
          <w:b/>
          <w:kern w:val="0"/>
          <w:sz w:val="24"/>
          <w:szCs w:val="24"/>
        </w:rPr>
        <w:t>等一种或多种渠道</w:t>
      </w:r>
      <w:r w:rsidRPr="000A0524">
        <w:rPr>
          <w:rFonts w:ascii="宋体" w:eastAsia="宋体" w:hAnsi="宋体" w:cs="宋体"/>
          <w:b/>
          <w:kern w:val="0"/>
          <w:sz w:val="24"/>
          <w:szCs w:val="24"/>
        </w:rPr>
        <w:t>上予以公告。甲方</w:t>
      </w:r>
      <w:r w:rsidRPr="000A0524">
        <w:rPr>
          <w:rFonts w:ascii="宋体" w:eastAsia="宋体" w:hAnsi="宋体" w:cs="宋体" w:hint="eastAsia"/>
          <w:b/>
          <w:kern w:val="0"/>
          <w:sz w:val="24"/>
          <w:szCs w:val="24"/>
        </w:rPr>
        <w:t>对修改内容有异议的</w:t>
      </w:r>
      <w:r w:rsidRPr="000A0524">
        <w:rPr>
          <w:rFonts w:ascii="宋体" w:eastAsia="宋体" w:hAnsi="宋体" w:cs="Times New Roman" w:hint="eastAsia"/>
          <w:b/>
          <w:sz w:val="24"/>
        </w:rPr>
        <w:t>，有权在</w:t>
      </w:r>
      <w:r w:rsidRPr="000A0524">
        <w:rPr>
          <w:rFonts w:ascii="宋体" w:eastAsia="宋体" w:hAnsi="宋体" w:cs="Times New Roman"/>
          <w:b/>
          <w:sz w:val="24"/>
        </w:rPr>
        <w:t>5</w:t>
      </w:r>
      <w:r w:rsidRPr="000A0524">
        <w:rPr>
          <w:rFonts w:ascii="宋体" w:eastAsia="宋体" w:hAnsi="宋体" w:cs="Times New Roman" w:hint="eastAsia"/>
          <w:b/>
          <w:sz w:val="24"/>
        </w:rPr>
        <w:t>个交易日内向乙方提出终止本合同。</w:t>
      </w:r>
      <w:r w:rsidRPr="000A0524">
        <w:rPr>
          <w:rFonts w:ascii="宋体" w:eastAsia="宋体" w:hAnsi="宋体" w:cs="Times New Roman" w:hint="eastAsia"/>
          <w:b/>
          <w:sz w:val="24"/>
        </w:rPr>
        <w:lastRenderedPageBreak/>
        <w:t>甲方逾期未提出的，视作甲方已知晓并同意乙方公告的合同修改内容，愿意继续履行本合同。</w:t>
      </w:r>
    </w:p>
    <w:p w:rsidR="000A0524" w:rsidRPr="000A0524" w:rsidRDefault="000A0524" w:rsidP="000A0524">
      <w:pPr>
        <w:spacing w:line="360" w:lineRule="auto"/>
        <w:rPr>
          <w:rFonts w:ascii="宋体" w:eastAsia="宋体" w:hAnsi="宋体" w:cs="Times New Roman"/>
          <w:sz w:val="24"/>
        </w:rPr>
      </w:pPr>
    </w:p>
    <w:p w:rsidR="000A0524" w:rsidRPr="000A0524" w:rsidRDefault="000A0524" w:rsidP="000A0524">
      <w:pPr>
        <w:spacing w:line="360" w:lineRule="auto"/>
        <w:jc w:val="center"/>
        <w:rPr>
          <w:rFonts w:ascii="宋体" w:eastAsia="宋体" w:hAnsi="宋体" w:cs="Times New Roman"/>
          <w:b/>
          <w:sz w:val="24"/>
        </w:rPr>
      </w:pPr>
      <w:r w:rsidRPr="000A0524">
        <w:rPr>
          <w:rFonts w:ascii="宋体" w:eastAsia="宋体" w:hAnsi="宋体" w:cs="Times New Roman" w:hint="eastAsia"/>
          <w:b/>
          <w:sz w:val="24"/>
        </w:rPr>
        <w:t>第十九章  附则</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除出现本合同规定的合同终止情形外，合同有效期为1年，自本合同生效之日起计算，下一年对应日的前1日届满。如甲乙双方在合同到期日前5个交易日内未提出异议的，则本合同有效期限自到期日起自动延期1年，可以多次延续，每次延续1年。双方另有约定</w:t>
      </w:r>
      <w:r w:rsidRPr="000A0524">
        <w:rPr>
          <w:rFonts w:ascii="宋体" w:eastAsia="宋体" w:hAnsi="宋体" w:cs="Times New Roman"/>
          <w:sz w:val="24"/>
        </w:rPr>
        <w:t>的</w:t>
      </w:r>
      <w:r w:rsidRPr="000A0524">
        <w:rPr>
          <w:rFonts w:ascii="宋体" w:eastAsia="宋体" w:hAnsi="宋体" w:cs="Times New Roman" w:hint="eastAsia"/>
          <w:sz w:val="24"/>
        </w:rPr>
        <w:t>除外。</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与融资融券交易有关的申请材料、业务办理凭证或单据、数据电文等，与《融资融券交易风险揭示书》共同构成本合同的附件，是本合同的有效组成部分，与本合同具有同等的法律效力。</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本合同及其附件构成甲乙双方就本合同所涉事项达成的全部协议，取代双方此前就本合同事项达成的所有口头或书面协议、合同、谅解、备忘和联系。本合同中涉及的有关证券委托交易的事宜，适用甲乙双方签订的《证券交易委托代理协议》。</w:t>
      </w:r>
    </w:p>
    <w:p w:rsidR="000A0524" w:rsidRPr="000A0524" w:rsidRDefault="000A0524" w:rsidP="000A0524">
      <w:pPr>
        <w:numPr>
          <w:ilvl w:val="1"/>
          <w:numId w:val="3"/>
        </w:numPr>
        <w:spacing w:line="360" w:lineRule="auto"/>
        <w:rPr>
          <w:rFonts w:ascii="仿宋..甀" w:eastAsia="仿宋..甀" w:hAnsi="Calibri" w:cs="仿宋..甀"/>
        </w:rPr>
      </w:pPr>
      <w:r w:rsidRPr="000A0524">
        <w:rPr>
          <w:rFonts w:ascii="宋体" w:eastAsia="宋体" w:hAnsi="宋体" w:cs="Times New Roman" w:hint="eastAsia"/>
          <w:sz w:val="24"/>
        </w:rPr>
        <w:t>如签署纸质合同，则本合同一式二份，甲乙双方各留存一份，每份具备同等法律效力。如以电子方式签署合同，则甲方可登录乙方指定网站查询或下载电子合同。</w:t>
      </w:r>
    </w:p>
    <w:p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w:t>
      </w:r>
      <w:r w:rsidRPr="000A0524">
        <w:rPr>
          <w:rFonts w:ascii="宋体" w:eastAsia="宋体" w:hAnsi="宋体" w:cs="Times New Roman"/>
          <w:sz w:val="24"/>
        </w:rPr>
        <w:t xml:space="preserve"> </w:t>
      </w:r>
      <w:r w:rsidRPr="000A0524">
        <w:rPr>
          <w:rFonts w:ascii="宋体" w:eastAsia="宋体" w:hAnsi="宋体" w:cs="Times New Roman" w:hint="eastAsia"/>
          <w:sz w:val="24"/>
        </w:rPr>
        <w:t>在本合同签署后，若有关法律法规、规章制度及行业规章修订，相关内容及条款按新修订的法律法规、规章制度及行业规章办理。但本合同其他内容及条款继续有效。</w:t>
      </w:r>
    </w:p>
    <w:p w:rsidR="000A0524" w:rsidRPr="000A0524" w:rsidRDefault="000A0524" w:rsidP="000A0524">
      <w:pPr>
        <w:spacing w:line="360" w:lineRule="auto"/>
        <w:rPr>
          <w:rFonts w:ascii="宋体" w:eastAsia="宋体" w:hAnsi="宋体" w:cs="Times New Roman"/>
          <w:sz w:val="24"/>
        </w:rPr>
      </w:pPr>
    </w:p>
    <w:p w:rsidR="000A0524" w:rsidRPr="000A0524" w:rsidRDefault="000A0524" w:rsidP="000A0524">
      <w:pPr>
        <w:spacing w:line="360" w:lineRule="auto"/>
        <w:rPr>
          <w:rFonts w:ascii="宋体" w:eastAsia="宋体" w:hAnsi="宋体" w:cs="Times New Roman"/>
          <w:sz w:val="24"/>
        </w:rPr>
      </w:pPr>
    </w:p>
    <w:p w:rsidR="000A0524" w:rsidRPr="000A0524" w:rsidRDefault="000A0524" w:rsidP="000A0524">
      <w:pPr>
        <w:spacing w:line="360" w:lineRule="auto"/>
        <w:ind w:firstLineChars="250" w:firstLine="703"/>
        <w:rPr>
          <w:rFonts w:ascii="黑体" w:eastAsia="黑体" w:hAnsi="Calibri" w:cs="Times New Roman"/>
          <w:b/>
          <w:sz w:val="28"/>
          <w:szCs w:val="28"/>
        </w:rPr>
      </w:pPr>
      <w:r w:rsidRPr="000A0524">
        <w:rPr>
          <w:rFonts w:ascii="黑体" w:eastAsia="黑体" w:hAnsi="Calibri" w:cs="Times New Roman" w:hint="eastAsia"/>
          <w:b/>
          <w:sz w:val="28"/>
          <w:szCs w:val="28"/>
        </w:rPr>
        <w:t>乙方已向甲方说明融资融券交易的风险，不保证甲方获得投资收益或承担甲方投资损失；甲方确认，已充分理解本合同内容，愿意自行承担融资融券交易可能产生的所有风险和损失。</w:t>
      </w:r>
    </w:p>
    <w:p w:rsidR="000A0524" w:rsidRPr="000A0524" w:rsidRDefault="000A0524" w:rsidP="000A0524">
      <w:pPr>
        <w:spacing w:line="360" w:lineRule="auto"/>
        <w:ind w:firstLineChars="250" w:firstLine="600"/>
        <w:rPr>
          <w:rFonts w:ascii="宋体" w:eastAsia="宋体" w:hAnsi="宋体" w:cs="Times New Roman"/>
          <w:sz w:val="24"/>
        </w:rPr>
      </w:pPr>
    </w:p>
    <w:p w:rsidR="000A0524" w:rsidRPr="000A0524" w:rsidRDefault="000A0524" w:rsidP="000A0524">
      <w:pPr>
        <w:spacing w:line="360" w:lineRule="auto"/>
        <w:ind w:firstLineChars="250" w:firstLine="600"/>
        <w:rPr>
          <w:rFonts w:ascii="宋体" w:eastAsia="宋体" w:hAnsi="宋体" w:cs="Times New Roman"/>
          <w:sz w:val="24"/>
        </w:rPr>
      </w:pPr>
    </w:p>
    <w:p w:rsidR="000A0524" w:rsidRPr="000A0524" w:rsidRDefault="000A0524" w:rsidP="000A0524">
      <w:pPr>
        <w:spacing w:line="360" w:lineRule="auto"/>
        <w:rPr>
          <w:rFonts w:ascii="宋体" w:eastAsia="宋体" w:hAnsi="宋体" w:cs="Times New Roman"/>
          <w:sz w:val="24"/>
        </w:rPr>
      </w:pPr>
    </w:p>
    <w:p w:rsidR="000A0524" w:rsidRPr="000A0524" w:rsidRDefault="000A0524" w:rsidP="000A0524">
      <w:pPr>
        <w:spacing w:line="360" w:lineRule="auto"/>
        <w:rPr>
          <w:rFonts w:ascii="宋体" w:eastAsia="宋体" w:hAnsi="宋体" w:cs="Times New Roman"/>
          <w:sz w:val="24"/>
        </w:rPr>
      </w:pPr>
      <w:r w:rsidRPr="000A0524">
        <w:rPr>
          <w:rFonts w:ascii="宋体" w:eastAsia="宋体" w:hAnsi="宋体" w:cs="Times New Roman" w:hint="eastAsia"/>
          <w:sz w:val="24"/>
        </w:rPr>
        <w:t>甲方：                                        （签字或盖章）</w:t>
      </w:r>
    </w:p>
    <w:p w:rsidR="000A0524" w:rsidRPr="000A0524" w:rsidRDefault="000A0524" w:rsidP="000A0524">
      <w:pPr>
        <w:spacing w:line="360" w:lineRule="auto"/>
        <w:rPr>
          <w:rFonts w:ascii="宋体" w:eastAsia="宋体" w:hAnsi="宋体" w:cs="Times New Roman"/>
          <w:sz w:val="24"/>
        </w:rPr>
      </w:pPr>
      <w:r w:rsidRPr="000A0524">
        <w:rPr>
          <w:rFonts w:ascii="宋体" w:eastAsia="宋体" w:hAnsi="宋体" w:cs="Times New Roman" w:hint="eastAsia"/>
          <w:bCs/>
          <w:sz w:val="24"/>
        </w:rPr>
        <w:t>法定代表人或</w:t>
      </w:r>
      <w:r w:rsidRPr="000A0524">
        <w:rPr>
          <w:rFonts w:ascii="宋体" w:eastAsia="宋体" w:hAnsi="宋体" w:cs="Times New Roman" w:hint="eastAsia"/>
          <w:sz w:val="24"/>
        </w:rPr>
        <w:t>授权代表签字（机构户）：</w:t>
      </w:r>
    </w:p>
    <w:p w:rsidR="000A0524" w:rsidRPr="000A0524" w:rsidRDefault="000A0524" w:rsidP="000A0524">
      <w:pPr>
        <w:spacing w:line="360" w:lineRule="auto"/>
        <w:rPr>
          <w:rFonts w:ascii="宋体" w:eastAsia="宋体" w:hAnsi="宋体" w:cs="Times New Roman"/>
          <w:sz w:val="24"/>
        </w:rPr>
      </w:pPr>
      <w:r w:rsidRPr="000A0524">
        <w:rPr>
          <w:rFonts w:ascii="宋体" w:eastAsia="宋体" w:hAnsi="宋体" w:cs="Times New Roman" w:hint="eastAsia"/>
          <w:sz w:val="24"/>
        </w:rPr>
        <w:t>签署日期：      年   月   日</w:t>
      </w:r>
    </w:p>
    <w:p w:rsidR="000A0524" w:rsidRPr="000A0524" w:rsidRDefault="000A0524" w:rsidP="000A0524">
      <w:pPr>
        <w:spacing w:line="360" w:lineRule="auto"/>
        <w:rPr>
          <w:rFonts w:ascii="宋体" w:eastAsia="宋体" w:hAnsi="宋体" w:cs="Times New Roman"/>
          <w:sz w:val="24"/>
        </w:rPr>
      </w:pPr>
    </w:p>
    <w:p w:rsidR="000A0524" w:rsidRPr="000A0524" w:rsidRDefault="000A0524" w:rsidP="000A0524">
      <w:pPr>
        <w:spacing w:line="360" w:lineRule="auto"/>
        <w:rPr>
          <w:rFonts w:ascii="宋体" w:eastAsia="宋体" w:hAnsi="宋体" w:cs="Times New Roman"/>
          <w:sz w:val="24"/>
        </w:rPr>
      </w:pPr>
    </w:p>
    <w:p w:rsidR="000A0524" w:rsidRPr="000A0524" w:rsidRDefault="000A0524" w:rsidP="000A0524">
      <w:pPr>
        <w:spacing w:line="360" w:lineRule="auto"/>
        <w:rPr>
          <w:rFonts w:ascii="宋体" w:eastAsia="宋体" w:hAnsi="宋体" w:cs="Times New Roman"/>
          <w:sz w:val="24"/>
        </w:rPr>
      </w:pPr>
    </w:p>
    <w:p w:rsidR="000A0524" w:rsidRPr="000A0524" w:rsidRDefault="000A0524" w:rsidP="000A0524">
      <w:pPr>
        <w:spacing w:line="360" w:lineRule="auto"/>
        <w:rPr>
          <w:rFonts w:ascii="宋体" w:eastAsia="宋体" w:hAnsi="宋体" w:cs="Times New Roman"/>
          <w:sz w:val="24"/>
        </w:rPr>
      </w:pPr>
      <w:r w:rsidRPr="000A0524">
        <w:rPr>
          <w:rFonts w:ascii="宋体" w:eastAsia="宋体" w:hAnsi="宋体" w:cs="Times New Roman" w:hint="eastAsia"/>
          <w:sz w:val="24"/>
        </w:rPr>
        <w:t>乙方：                                         （盖章）</w:t>
      </w:r>
    </w:p>
    <w:p w:rsidR="000A0524" w:rsidRPr="000A0524" w:rsidRDefault="000A0524" w:rsidP="000A0524">
      <w:pPr>
        <w:spacing w:line="360" w:lineRule="auto"/>
        <w:rPr>
          <w:rFonts w:ascii="宋体" w:eastAsia="宋体" w:hAnsi="宋体" w:cs="Times New Roman"/>
          <w:sz w:val="24"/>
        </w:rPr>
      </w:pPr>
      <w:r w:rsidRPr="000A0524">
        <w:rPr>
          <w:rFonts w:ascii="宋体" w:eastAsia="宋体" w:hAnsi="宋体" w:cs="Times New Roman" w:hint="eastAsia"/>
          <w:sz w:val="24"/>
        </w:rPr>
        <w:t xml:space="preserve">签署日期：      </w:t>
      </w:r>
    </w:p>
    <w:p w:rsidR="000A0524" w:rsidRPr="000A0524" w:rsidRDefault="000A0524" w:rsidP="000A0524">
      <w:pPr>
        <w:rPr>
          <w:rFonts w:ascii="Calibri" w:eastAsia="宋体" w:hAnsi="Calibri" w:cs="Times New Roman"/>
        </w:rPr>
      </w:pPr>
    </w:p>
    <w:p w:rsidR="000A0524" w:rsidRPr="000A0524" w:rsidRDefault="000A0524" w:rsidP="000A0524">
      <w:pPr>
        <w:rPr>
          <w:rFonts w:ascii="Calibri" w:eastAsia="宋体" w:hAnsi="Calibri" w:cs="Times New Roman"/>
          <w:lang w:val="x-none"/>
        </w:rPr>
      </w:pPr>
      <w:bookmarkStart w:id="5" w:name="_GoBack"/>
      <w:bookmarkEnd w:id="5"/>
    </w:p>
    <w:p w:rsidR="00ED161B" w:rsidRPr="000A0524" w:rsidRDefault="001367CE">
      <w:pPr>
        <w:rPr>
          <w:lang w:val="x-none"/>
        </w:rPr>
      </w:pPr>
    </w:p>
    <w:sectPr w:rsidR="00ED161B" w:rsidRPr="000A0524" w:rsidSect="00445ED8">
      <w:foot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367CE" w:rsidRDefault="001367CE" w:rsidP="000A0524">
      <w:r>
        <w:separator/>
      </w:r>
    </w:p>
  </w:endnote>
  <w:endnote w:type="continuationSeparator" w:id="0">
    <w:p w:rsidR="001367CE" w:rsidRDefault="001367CE" w:rsidP="000A05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Wingdings">
    <w:panose1 w:val="05000000000000000000"/>
    <w:charset w:val="02"/>
    <w:family w:val="auto"/>
    <w:pitch w:val="variable"/>
    <w:sig w:usb0="00000000" w:usb1="10000000" w:usb2="00000000" w:usb3="00000000" w:csb0="80000000" w:csb1="00000000"/>
  </w:font>
  <w:font w:name="等线">
    <w:altName w:val="DengXian"/>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86"/>
    <w:family w:val="swiss"/>
    <w:pitch w:val="variable"/>
    <w:sig w:usb0="F7FFAFFF" w:usb1="E9DFFFFF" w:usb2="0000003F" w:usb3="00000000" w:csb0="003F01FF" w:csb1="00000000"/>
  </w:font>
  <w:font w:name="Microsoft YaHei UI">
    <w:panose1 w:val="020B0503020204020204"/>
    <w:charset w:val="86"/>
    <w:family w:val="swiss"/>
    <w:pitch w:val="variable"/>
    <w:sig w:usb0="80000287" w:usb1="28CF3C52" w:usb2="00000016" w:usb3="00000000" w:csb0="0004001F" w:csb1="00000000"/>
  </w:font>
  <w:font w:name="微软雅黑">
    <w:panose1 w:val="020B0503020204020204"/>
    <w:charset w:val="86"/>
    <w:family w:val="swiss"/>
    <w:pitch w:val="variable"/>
    <w:sig w:usb0="80000287" w:usb1="280F3C52" w:usb2="00000016" w:usb3="00000000" w:csb0="0004001F" w:csb1="00000000"/>
  </w:font>
  <w:font w:name="楷体_GB2312">
    <w:altName w:val="楷体"/>
    <w:charset w:val="86"/>
    <w:family w:val="modern"/>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宋体-WinCharSetFFFF-H">
    <w:altName w:val="黑体"/>
    <w:panose1 w:val="00000000000000000000"/>
    <w:charset w:val="86"/>
    <w:family w:val="auto"/>
    <w:notTrueType/>
    <w:pitch w:val="default"/>
    <w:sig w:usb0="00000001" w:usb1="080E0000" w:usb2="00000010" w:usb3="00000000" w:csb0="00040000" w:csb1="00000000"/>
  </w:font>
  <w:font w:name="仿宋..甀">
    <w:altName w:val="宋体"/>
    <w:panose1 w:val="00000000000000000000"/>
    <w:charset w:val="86"/>
    <w:family w:val="roman"/>
    <w:notTrueType/>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6E1E" w:rsidRDefault="00C409B3">
    <w:pPr>
      <w:pStyle w:val="a5"/>
      <w:jc w:val="center"/>
    </w:pPr>
    <w:r>
      <w:fldChar w:fldCharType="begin"/>
    </w:r>
    <w:r>
      <w:instrText xml:space="preserve"> PAGE   \* MERGEFORMAT </w:instrText>
    </w:r>
    <w:r>
      <w:fldChar w:fldCharType="separate"/>
    </w:r>
    <w:r w:rsidR="000B1BC9" w:rsidRPr="000B1BC9">
      <w:rPr>
        <w:noProof/>
        <w:lang w:val="zh-CN"/>
      </w:rPr>
      <w:t>37</w:t>
    </w:r>
    <w:r>
      <w:rPr>
        <w:noProof/>
        <w:lang w:val="zh-CN"/>
      </w:rPr>
      <w:fldChar w:fldCharType="end"/>
    </w:r>
  </w:p>
  <w:p w:rsidR="004C6E1E" w:rsidRDefault="001367CE">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367CE" w:rsidRDefault="001367CE" w:rsidP="000A0524">
      <w:r>
        <w:separator/>
      </w:r>
    </w:p>
  </w:footnote>
  <w:footnote w:type="continuationSeparator" w:id="0">
    <w:p w:rsidR="001367CE" w:rsidRDefault="001367CE" w:rsidP="000A0524">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73A7C"/>
    <w:multiLevelType w:val="hybridMultilevel"/>
    <w:tmpl w:val="DC24115E"/>
    <w:lvl w:ilvl="0" w:tplc="E0BAF17E">
      <w:start w:val="1"/>
      <w:numFmt w:val="decimal"/>
      <w:lvlText w:val="%1、"/>
      <w:lvlJc w:val="left"/>
      <w:pPr>
        <w:tabs>
          <w:tab w:val="num" w:pos="0"/>
        </w:tabs>
        <w:ind w:firstLine="567"/>
      </w:pPr>
      <w:rPr>
        <w:rFonts w:eastAsia="宋体" w:cs="Times New Roman" w:hint="eastAsia"/>
        <w:b w:val="0"/>
        <w:i w:val="0"/>
        <w:sz w:val="24"/>
        <w:szCs w:val="24"/>
      </w:rPr>
    </w:lvl>
    <w:lvl w:ilvl="1" w:tplc="04090019" w:tentative="1">
      <w:start w:val="1"/>
      <w:numFmt w:val="lowerLetter"/>
      <w:lvlText w:val="%2)"/>
      <w:lvlJc w:val="left"/>
      <w:pPr>
        <w:tabs>
          <w:tab w:val="num" w:pos="840"/>
        </w:tabs>
        <w:ind w:left="840" w:hanging="420"/>
      </w:pPr>
      <w:rPr>
        <w:rFonts w:cs="Times New Roman"/>
      </w:rPr>
    </w:lvl>
    <w:lvl w:ilvl="2" w:tplc="0409001B" w:tentative="1">
      <w:start w:val="1"/>
      <w:numFmt w:val="lowerRoman"/>
      <w:lvlText w:val="%3."/>
      <w:lvlJc w:val="right"/>
      <w:pPr>
        <w:tabs>
          <w:tab w:val="num" w:pos="1260"/>
        </w:tabs>
        <w:ind w:left="1260" w:hanging="420"/>
      </w:pPr>
      <w:rPr>
        <w:rFonts w:cs="Times New Roman"/>
      </w:rPr>
    </w:lvl>
    <w:lvl w:ilvl="3" w:tplc="0409000F" w:tentative="1">
      <w:start w:val="1"/>
      <w:numFmt w:val="decimal"/>
      <w:lvlText w:val="%4."/>
      <w:lvlJc w:val="left"/>
      <w:pPr>
        <w:tabs>
          <w:tab w:val="num" w:pos="1680"/>
        </w:tabs>
        <w:ind w:left="1680" w:hanging="420"/>
      </w:pPr>
      <w:rPr>
        <w:rFonts w:cs="Times New Roman"/>
      </w:rPr>
    </w:lvl>
    <w:lvl w:ilvl="4" w:tplc="04090019" w:tentative="1">
      <w:start w:val="1"/>
      <w:numFmt w:val="lowerLetter"/>
      <w:lvlText w:val="%5)"/>
      <w:lvlJc w:val="left"/>
      <w:pPr>
        <w:tabs>
          <w:tab w:val="num" w:pos="2100"/>
        </w:tabs>
        <w:ind w:left="2100" w:hanging="420"/>
      </w:pPr>
      <w:rPr>
        <w:rFonts w:cs="Times New Roman"/>
      </w:rPr>
    </w:lvl>
    <w:lvl w:ilvl="5" w:tplc="0409001B" w:tentative="1">
      <w:start w:val="1"/>
      <w:numFmt w:val="lowerRoman"/>
      <w:lvlText w:val="%6."/>
      <w:lvlJc w:val="right"/>
      <w:pPr>
        <w:tabs>
          <w:tab w:val="num" w:pos="2520"/>
        </w:tabs>
        <w:ind w:left="2520" w:hanging="420"/>
      </w:pPr>
      <w:rPr>
        <w:rFonts w:cs="Times New Roman"/>
      </w:rPr>
    </w:lvl>
    <w:lvl w:ilvl="6" w:tplc="0409000F" w:tentative="1">
      <w:start w:val="1"/>
      <w:numFmt w:val="decimal"/>
      <w:lvlText w:val="%7."/>
      <w:lvlJc w:val="left"/>
      <w:pPr>
        <w:tabs>
          <w:tab w:val="num" w:pos="2940"/>
        </w:tabs>
        <w:ind w:left="2940" w:hanging="420"/>
      </w:pPr>
      <w:rPr>
        <w:rFonts w:cs="Times New Roman"/>
      </w:rPr>
    </w:lvl>
    <w:lvl w:ilvl="7" w:tplc="04090019" w:tentative="1">
      <w:start w:val="1"/>
      <w:numFmt w:val="lowerLetter"/>
      <w:lvlText w:val="%8)"/>
      <w:lvlJc w:val="left"/>
      <w:pPr>
        <w:tabs>
          <w:tab w:val="num" w:pos="3360"/>
        </w:tabs>
        <w:ind w:left="3360" w:hanging="420"/>
      </w:pPr>
      <w:rPr>
        <w:rFonts w:cs="Times New Roman"/>
      </w:rPr>
    </w:lvl>
    <w:lvl w:ilvl="8" w:tplc="0409001B" w:tentative="1">
      <w:start w:val="1"/>
      <w:numFmt w:val="lowerRoman"/>
      <w:lvlText w:val="%9."/>
      <w:lvlJc w:val="right"/>
      <w:pPr>
        <w:tabs>
          <w:tab w:val="num" w:pos="3780"/>
        </w:tabs>
        <w:ind w:left="3780" w:hanging="420"/>
      </w:pPr>
      <w:rPr>
        <w:rFonts w:cs="Times New Roman"/>
      </w:rPr>
    </w:lvl>
  </w:abstractNum>
  <w:abstractNum w:abstractNumId="1" w15:restartNumberingAfterBreak="0">
    <w:nsid w:val="08682094"/>
    <w:multiLevelType w:val="multilevel"/>
    <w:tmpl w:val="0B90F1A2"/>
    <w:lvl w:ilvl="0">
      <w:start w:val="1"/>
      <w:numFmt w:val="chineseCountingThousand"/>
      <w:suff w:val="nothing"/>
      <w:lvlText w:val="第%1章 "/>
      <w:lvlJc w:val="left"/>
      <w:pPr>
        <w:ind w:left="0" w:firstLine="0"/>
      </w:pPr>
      <w:rPr>
        <w:rFonts w:hint="eastAsia"/>
        <w:b/>
        <w:i w:val="0"/>
        <w:lang w:val="en-US"/>
      </w:rPr>
    </w:lvl>
    <w:lvl w:ilvl="1">
      <w:start w:val="1"/>
      <w:numFmt w:val="chineseCountingThousand"/>
      <w:suff w:val="nothing"/>
      <w:lvlText w:val="第%2条 "/>
      <w:lvlJc w:val="left"/>
      <w:pPr>
        <w:ind w:left="0" w:firstLine="0"/>
      </w:pPr>
      <w:rPr>
        <w:rFonts w:hint="eastAsia"/>
        <w:b/>
        <w:i w:val="0"/>
        <w:lang w:val="en-US"/>
      </w:rPr>
    </w:lvl>
    <w:lvl w:ilvl="2">
      <w:start w:val="1"/>
      <w:numFmt w:val="chineseCountingThousand"/>
      <w:suff w:val="space"/>
      <w:lvlText w:val="（%3）"/>
      <w:lvlJc w:val="left"/>
      <w:pPr>
        <w:ind w:left="0" w:firstLine="0"/>
      </w:pPr>
      <w:rPr>
        <w:rFonts w:hint="eastAsia"/>
        <w:b/>
        <w:i w:val="0"/>
        <w:lang w:val="en-US"/>
      </w:rPr>
    </w:lvl>
    <w:lvl w:ilvl="3">
      <w:start w:val="1"/>
      <w:numFmt w:val="decimal"/>
      <w:suff w:val="nothing"/>
      <w:lvlText w:val="（%4）"/>
      <w:lvlJc w:val="left"/>
      <w:pPr>
        <w:ind w:left="0" w:firstLine="0"/>
      </w:pPr>
      <w:rPr>
        <w:rFonts w:hint="eastAsia"/>
        <w:b w:val="0"/>
        <w:i w:val="0"/>
        <w:lang w:val="en-US"/>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2" w15:restartNumberingAfterBreak="0">
    <w:nsid w:val="0909432F"/>
    <w:multiLevelType w:val="hybridMultilevel"/>
    <w:tmpl w:val="98EE5D9A"/>
    <w:lvl w:ilvl="0" w:tplc="F97EEE32">
      <w:start w:val="1"/>
      <w:numFmt w:val="decimal"/>
      <w:lvlText w:val="%1、"/>
      <w:lvlJc w:val="left"/>
      <w:pPr>
        <w:tabs>
          <w:tab w:val="num" w:pos="567"/>
        </w:tabs>
        <w:ind w:left="0" w:firstLine="567"/>
      </w:pPr>
      <w:rPr>
        <w:rFonts w:eastAsia="仿宋_GB2312" w:hint="eastAsia"/>
        <w:b w:val="0"/>
        <w:i w:val="0"/>
        <w:sz w:val="24"/>
        <w:szCs w:val="24"/>
      </w:rPr>
    </w:lvl>
    <w:lvl w:ilvl="1" w:tplc="04090019" w:tentative="1">
      <w:start w:val="1"/>
      <w:numFmt w:val="lowerLetter"/>
      <w:lvlText w:val="%2)"/>
      <w:lvlJc w:val="left"/>
      <w:pPr>
        <w:ind w:left="1293" w:hanging="420"/>
      </w:pPr>
    </w:lvl>
    <w:lvl w:ilvl="2" w:tplc="0409001B" w:tentative="1">
      <w:start w:val="1"/>
      <w:numFmt w:val="lowerRoman"/>
      <w:lvlText w:val="%3."/>
      <w:lvlJc w:val="right"/>
      <w:pPr>
        <w:ind w:left="1713" w:hanging="420"/>
      </w:pPr>
    </w:lvl>
    <w:lvl w:ilvl="3" w:tplc="0409000F" w:tentative="1">
      <w:start w:val="1"/>
      <w:numFmt w:val="decimal"/>
      <w:lvlText w:val="%4."/>
      <w:lvlJc w:val="left"/>
      <w:pPr>
        <w:ind w:left="2133" w:hanging="420"/>
      </w:pPr>
    </w:lvl>
    <w:lvl w:ilvl="4" w:tplc="04090019" w:tentative="1">
      <w:start w:val="1"/>
      <w:numFmt w:val="lowerLetter"/>
      <w:lvlText w:val="%5)"/>
      <w:lvlJc w:val="left"/>
      <w:pPr>
        <w:ind w:left="2553" w:hanging="420"/>
      </w:pPr>
    </w:lvl>
    <w:lvl w:ilvl="5" w:tplc="0409001B" w:tentative="1">
      <w:start w:val="1"/>
      <w:numFmt w:val="lowerRoman"/>
      <w:lvlText w:val="%6."/>
      <w:lvlJc w:val="right"/>
      <w:pPr>
        <w:ind w:left="2973" w:hanging="420"/>
      </w:pPr>
    </w:lvl>
    <w:lvl w:ilvl="6" w:tplc="0409000F" w:tentative="1">
      <w:start w:val="1"/>
      <w:numFmt w:val="decimal"/>
      <w:lvlText w:val="%7."/>
      <w:lvlJc w:val="left"/>
      <w:pPr>
        <w:ind w:left="3393" w:hanging="420"/>
      </w:pPr>
    </w:lvl>
    <w:lvl w:ilvl="7" w:tplc="04090019" w:tentative="1">
      <w:start w:val="1"/>
      <w:numFmt w:val="lowerLetter"/>
      <w:lvlText w:val="%8)"/>
      <w:lvlJc w:val="left"/>
      <w:pPr>
        <w:ind w:left="3813" w:hanging="420"/>
      </w:pPr>
    </w:lvl>
    <w:lvl w:ilvl="8" w:tplc="0409001B" w:tentative="1">
      <w:start w:val="1"/>
      <w:numFmt w:val="lowerRoman"/>
      <w:lvlText w:val="%9."/>
      <w:lvlJc w:val="right"/>
      <w:pPr>
        <w:ind w:left="4233" w:hanging="420"/>
      </w:pPr>
    </w:lvl>
  </w:abstractNum>
  <w:abstractNum w:abstractNumId="3" w15:restartNumberingAfterBreak="0">
    <w:nsid w:val="0DB45ACB"/>
    <w:multiLevelType w:val="hybridMultilevel"/>
    <w:tmpl w:val="E4542366"/>
    <w:lvl w:ilvl="0" w:tplc="8E945DAC">
      <w:start w:val="1"/>
      <w:numFmt w:val="chineseCountingThousand"/>
      <w:lvlText w:val="(%1)"/>
      <w:lvlJc w:val="left"/>
      <w:pPr>
        <w:tabs>
          <w:tab w:val="num" w:pos="0"/>
        </w:tabs>
        <w:ind w:left="0" w:firstLine="567"/>
      </w:pPr>
      <w:rPr>
        <w:rFonts w:hint="eastAsia"/>
        <w:b/>
        <w:i w:val="0"/>
        <w:sz w:val="24"/>
        <w:szCs w:val="24"/>
        <w:lang w:val="en-US"/>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15:restartNumberingAfterBreak="0">
    <w:nsid w:val="169B7EBD"/>
    <w:multiLevelType w:val="hybridMultilevel"/>
    <w:tmpl w:val="356CF3DC"/>
    <w:lvl w:ilvl="0" w:tplc="90CC904C">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15:restartNumberingAfterBreak="0">
    <w:nsid w:val="19F747DE"/>
    <w:multiLevelType w:val="hybridMultilevel"/>
    <w:tmpl w:val="6DD05F10"/>
    <w:lvl w:ilvl="0" w:tplc="BA6E7FDA">
      <w:start w:val="1"/>
      <w:numFmt w:val="decimal"/>
      <w:lvlText w:val="%1、"/>
      <w:lvlJc w:val="left"/>
      <w:pPr>
        <w:tabs>
          <w:tab w:val="num" w:pos="567"/>
        </w:tabs>
        <w:ind w:firstLine="567"/>
      </w:pPr>
      <w:rPr>
        <w:rFonts w:eastAsia="宋体" w:cs="Times New Roman" w:hint="eastAsia"/>
        <w:b w:val="0"/>
        <w:i w:val="0"/>
        <w:sz w:val="24"/>
        <w:szCs w:val="24"/>
      </w:rPr>
    </w:lvl>
    <w:lvl w:ilvl="1" w:tplc="04090019">
      <w:start w:val="1"/>
      <w:numFmt w:val="chineseCountingThousand"/>
      <w:lvlText w:val="第%2条"/>
      <w:lvlJc w:val="left"/>
      <w:pPr>
        <w:tabs>
          <w:tab w:val="num" w:pos="420"/>
        </w:tabs>
        <w:ind w:left="420"/>
      </w:pPr>
      <w:rPr>
        <w:rFonts w:eastAsia="宋体" w:cs="Times New Roman" w:hint="eastAsia"/>
        <w:b/>
        <w:i w:val="0"/>
        <w:sz w:val="24"/>
        <w:szCs w:val="24"/>
      </w:rPr>
    </w:lvl>
    <w:lvl w:ilvl="2" w:tplc="0409001B" w:tentative="1">
      <w:start w:val="1"/>
      <w:numFmt w:val="lowerRoman"/>
      <w:lvlText w:val="%3."/>
      <w:lvlJc w:val="right"/>
      <w:pPr>
        <w:tabs>
          <w:tab w:val="num" w:pos="1260"/>
        </w:tabs>
        <w:ind w:left="1260" w:hanging="420"/>
      </w:pPr>
      <w:rPr>
        <w:rFonts w:cs="Times New Roman"/>
      </w:rPr>
    </w:lvl>
    <w:lvl w:ilvl="3" w:tplc="0409000F" w:tentative="1">
      <w:start w:val="1"/>
      <w:numFmt w:val="decimal"/>
      <w:lvlText w:val="%4."/>
      <w:lvlJc w:val="left"/>
      <w:pPr>
        <w:tabs>
          <w:tab w:val="num" w:pos="1680"/>
        </w:tabs>
        <w:ind w:left="1680" w:hanging="420"/>
      </w:pPr>
      <w:rPr>
        <w:rFonts w:cs="Times New Roman"/>
      </w:rPr>
    </w:lvl>
    <w:lvl w:ilvl="4" w:tplc="04090019" w:tentative="1">
      <w:start w:val="1"/>
      <w:numFmt w:val="lowerLetter"/>
      <w:lvlText w:val="%5)"/>
      <w:lvlJc w:val="left"/>
      <w:pPr>
        <w:tabs>
          <w:tab w:val="num" w:pos="2100"/>
        </w:tabs>
        <w:ind w:left="2100" w:hanging="420"/>
      </w:pPr>
      <w:rPr>
        <w:rFonts w:cs="Times New Roman"/>
      </w:rPr>
    </w:lvl>
    <w:lvl w:ilvl="5" w:tplc="0409001B" w:tentative="1">
      <w:start w:val="1"/>
      <w:numFmt w:val="lowerRoman"/>
      <w:lvlText w:val="%6."/>
      <w:lvlJc w:val="right"/>
      <w:pPr>
        <w:tabs>
          <w:tab w:val="num" w:pos="2520"/>
        </w:tabs>
        <w:ind w:left="2520" w:hanging="420"/>
      </w:pPr>
      <w:rPr>
        <w:rFonts w:cs="Times New Roman"/>
      </w:rPr>
    </w:lvl>
    <w:lvl w:ilvl="6" w:tplc="0409000F" w:tentative="1">
      <w:start w:val="1"/>
      <w:numFmt w:val="decimal"/>
      <w:lvlText w:val="%7."/>
      <w:lvlJc w:val="left"/>
      <w:pPr>
        <w:tabs>
          <w:tab w:val="num" w:pos="2940"/>
        </w:tabs>
        <w:ind w:left="2940" w:hanging="420"/>
      </w:pPr>
      <w:rPr>
        <w:rFonts w:cs="Times New Roman"/>
      </w:rPr>
    </w:lvl>
    <w:lvl w:ilvl="7" w:tplc="04090019" w:tentative="1">
      <w:start w:val="1"/>
      <w:numFmt w:val="lowerLetter"/>
      <w:lvlText w:val="%8)"/>
      <w:lvlJc w:val="left"/>
      <w:pPr>
        <w:tabs>
          <w:tab w:val="num" w:pos="3360"/>
        </w:tabs>
        <w:ind w:left="3360" w:hanging="420"/>
      </w:pPr>
      <w:rPr>
        <w:rFonts w:cs="Times New Roman"/>
      </w:rPr>
    </w:lvl>
    <w:lvl w:ilvl="8" w:tplc="0409001B" w:tentative="1">
      <w:start w:val="1"/>
      <w:numFmt w:val="lowerRoman"/>
      <w:lvlText w:val="%9."/>
      <w:lvlJc w:val="right"/>
      <w:pPr>
        <w:tabs>
          <w:tab w:val="num" w:pos="3780"/>
        </w:tabs>
        <w:ind w:left="3780" w:hanging="420"/>
      </w:pPr>
      <w:rPr>
        <w:rFonts w:cs="Times New Roman"/>
      </w:rPr>
    </w:lvl>
  </w:abstractNum>
  <w:abstractNum w:abstractNumId="6" w15:restartNumberingAfterBreak="0">
    <w:nsid w:val="1FAB2595"/>
    <w:multiLevelType w:val="hybridMultilevel"/>
    <w:tmpl w:val="EB6E753A"/>
    <w:lvl w:ilvl="0" w:tplc="7D8E2AE2">
      <w:start w:val="1"/>
      <w:numFmt w:val="decimal"/>
      <w:lvlText w:val="%1、"/>
      <w:lvlJc w:val="left"/>
      <w:pPr>
        <w:tabs>
          <w:tab w:val="num" w:pos="569"/>
        </w:tabs>
        <w:ind w:left="2" w:firstLine="567"/>
      </w:pPr>
      <w:rPr>
        <w:rFonts w:eastAsia="宋体" w:cs="Times New Roman" w:hint="eastAsia"/>
        <w:b w:val="0"/>
        <w:i w:val="0"/>
        <w:sz w:val="24"/>
        <w:szCs w:val="24"/>
      </w:rPr>
    </w:lvl>
    <w:lvl w:ilvl="1" w:tplc="04090019" w:tentative="1">
      <w:start w:val="1"/>
      <w:numFmt w:val="lowerLetter"/>
      <w:lvlText w:val="%2)"/>
      <w:lvlJc w:val="left"/>
      <w:pPr>
        <w:tabs>
          <w:tab w:val="num" w:pos="842"/>
        </w:tabs>
        <w:ind w:left="842" w:hanging="420"/>
      </w:pPr>
      <w:rPr>
        <w:rFonts w:cs="Times New Roman"/>
      </w:rPr>
    </w:lvl>
    <w:lvl w:ilvl="2" w:tplc="0409001B" w:tentative="1">
      <w:start w:val="1"/>
      <w:numFmt w:val="lowerRoman"/>
      <w:lvlText w:val="%3."/>
      <w:lvlJc w:val="right"/>
      <w:pPr>
        <w:tabs>
          <w:tab w:val="num" w:pos="1262"/>
        </w:tabs>
        <w:ind w:left="1262" w:hanging="420"/>
      </w:pPr>
      <w:rPr>
        <w:rFonts w:cs="Times New Roman"/>
      </w:rPr>
    </w:lvl>
    <w:lvl w:ilvl="3" w:tplc="0409000F" w:tentative="1">
      <w:start w:val="1"/>
      <w:numFmt w:val="decimal"/>
      <w:lvlText w:val="%4."/>
      <w:lvlJc w:val="left"/>
      <w:pPr>
        <w:tabs>
          <w:tab w:val="num" w:pos="1682"/>
        </w:tabs>
        <w:ind w:left="1682" w:hanging="420"/>
      </w:pPr>
      <w:rPr>
        <w:rFonts w:cs="Times New Roman"/>
      </w:rPr>
    </w:lvl>
    <w:lvl w:ilvl="4" w:tplc="04090019" w:tentative="1">
      <w:start w:val="1"/>
      <w:numFmt w:val="lowerLetter"/>
      <w:lvlText w:val="%5)"/>
      <w:lvlJc w:val="left"/>
      <w:pPr>
        <w:tabs>
          <w:tab w:val="num" w:pos="2102"/>
        </w:tabs>
        <w:ind w:left="2102" w:hanging="420"/>
      </w:pPr>
      <w:rPr>
        <w:rFonts w:cs="Times New Roman"/>
      </w:rPr>
    </w:lvl>
    <w:lvl w:ilvl="5" w:tplc="0409001B" w:tentative="1">
      <w:start w:val="1"/>
      <w:numFmt w:val="lowerRoman"/>
      <w:lvlText w:val="%6."/>
      <w:lvlJc w:val="right"/>
      <w:pPr>
        <w:tabs>
          <w:tab w:val="num" w:pos="2522"/>
        </w:tabs>
        <w:ind w:left="2522" w:hanging="420"/>
      </w:pPr>
      <w:rPr>
        <w:rFonts w:cs="Times New Roman"/>
      </w:rPr>
    </w:lvl>
    <w:lvl w:ilvl="6" w:tplc="0409000F" w:tentative="1">
      <w:start w:val="1"/>
      <w:numFmt w:val="decimal"/>
      <w:lvlText w:val="%7."/>
      <w:lvlJc w:val="left"/>
      <w:pPr>
        <w:tabs>
          <w:tab w:val="num" w:pos="2942"/>
        </w:tabs>
        <w:ind w:left="2942" w:hanging="420"/>
      </w:pPr>
      <w:rPr>
        <w:rFonts w:cs="Times New Roman"/>
      </w:rPr>
    </w:lvl>
    <w:lvl w:ilvl="7" w:tplc="04090019" w:tentative="1">
      <w:start w:val="1"/>
      <w:numFmt w:val="lowerLetter"/>
      <w:lvlText w:val="%8)"/>
      <w:lvlJc w:val="left"/>
      <w:pPr>
        <w:tabs>
          <w:tab w:val="num" w:pos="3362"/>
        </w:tabs>
        <w:ind w:left="3362" w:hanging="420"/>
      </w:pPr>
      <w:rPr>
        <w:rFonts w:cs="Times New Roman"/>
      </w:rPr>
    </w:lvl>
    <w:lvl w:ilvl="8" w:tplc="0409001B" w:tentative="1">
      <w:start w:val="1"/>
      <w:numFmt w:val="lowerRoman"/>
      <w:lvlText w:val="%9."/>
      <w:lvlJc w:val="right"/>
      <w:pPr>
        <w:tabs>
          <w:tab w:val="num" w:pos="3782"/>
        </w:tabs>
        <w:ind w:left="3782" w:hanging="420"/>
      </w:pPr>
      <w:rPr>
        <w:rFonts w:cs="Times New Roman"/>
      </w:rPr>
    </w:lvl>
  </w:abstractNum>
  <w:abstractNum w:abstractNumId="7" w15:restartNumberingAfterBreak="0">
    <w:nsid w:val="27825244"/>
    <w:multiLevelType w:val="hybridMultilevel"/>
    <w:tmpl w:val="8E142E78"/>
    <w:lvl w:ilvl="0" w:tplc="2C2CED06">
      <w:start w:val="1"/>
      <w:numFmt w:val="decimal"/>
      <w:lvlText w:val="%1、"/>
      <w:lvlJc w:val="left"/>
      <w:pPr>
        <w:tabs>
          <w:tab w:val="num" w:pos="426"/>
        </w:tabs>
        <w:ind w:firstLine="567"/>
      </w:pPr>
      <w:rPr>
        <w:rFonts w:eastAsia="宋体" w:cs="Times New Roman" w:hint="eastAsia"/>
        <w:b w:val="0"/>
        <w:i w:val="0"/>
        <w:sz w:val="24"/>
        <w:szCs w:val="24"/>
      </w:rPr>
    </w:lvl>
    <w:lvl w:ilvl="1" w:tplc="04090019">
      <w:start w:val="1"/>
      <w:numFmt w:val="lowerLetter"/>
      <w:lvlText w:val="%2)"/>
      <w:lvlJc w:val="left"/>
      <w:pPr>
        <w:tabs>
          <w:tab w:val="num" w:pos="840"/>
        </w:tabs>
        <w:ind w:left="840" w:hanging="420"/>
      </w:pPr>
      <w:rPr>
        <w:rFonts w:cs="Times New Roman"/>
      </w:rPr>
    </w:lvl>
    <w:lvl w:ilvl="2" w:tplc="0409001B">
      <w:start w:val="1"/>
      <w:numFmt w:val="lowerRoman"/>
      <w:lvlText w:val="%3."/>
      <w:lvlJc w:val="right"/>
      <w:pPr>
        <w:tabs>
          <w:tab w:val="num" w:pos="1260"/>
        </w:tabs>
        <w:ind w:left="1260" w:hanging="420"/>
      </w:pPr>
      <w:rPr>
        <w:rFonts w:cs="Times New Roman"/>
      </w:rPr>
    </w:lvl>
    <w:lvl w:ilvl="3" w:tplc="0409000F" w:tentative="1">
      <w:start w:val="1"/>
      <w:numFmt w:val="decimal"/>
      <w:lvlText w:val="%4."/>
      <w:lvlJc w:val="left"/>
      <w:pPr>
        <w:tabs>
          <w:tab w:val="num" w:pos="1680"/>
        </w:tabs>
        <w:ind w:left="1680" w:hanging="420"/>
      </w:pPr>
      <w:rPr>
        <w:rFonts w:cs="Times New Roman"/>
      </w:rPr>
    </w:lvl>
    <w:lvl w:ilvl="4" w:tplc="04090019" w:tentative="1">
      <w:start w:val="1"/>
      <w:numFmt w:val="lowerLetter"/>
      <w:lvlText w:val="%5)"/>
      <w:lvlJc w:val="left"/>
      <w:pPr>
        <w:tabs>
          <w:tab w:val="num" w:pos="2100"/>
        </w:tabs>
        <w:ind w:left="2100" w:hanging="420"/>
      </w:pPr>
      <w:rPr>
        <w:rFonts w:cs="Times New Roman"/>
      </w:rPr>
    </w:lvl>
    <w:lvl w:ilvl="5" w:tplc="0409001B" w:tentative="1">
      <w:start w:val="1"/>
      <w:numFmt w:val="lowerRoman"/>
      <w:lvlText w:val="%6."/>
      <w:lvlJc w:val="right"/>
      <w:pPr>
        <w:tabs>
          <w:tab w:val="num" w:pos="2520"/>
        </w:tabs>
        <w:ind w:left="2520" w:hanging="420"/>
      </w:pPr>
      <w:rPr>
        <w:rFonts w:cs="Times New Roman"/>
      </w:rPr>
    </w:lvl>
    <w:lvl w:ilvl="6" w:tplc="0409000F" w:tentative="1">
      <w:start w:val="1"/>
      <w:numFmt w:val="decimal"/>
      <w:lvlText w:val="%7."/>
      <w:lvlJc w:val="left"/>
      <w:pPr>
        <w:tabs>
          <w:tab w:val="num" w:pos="2940"/>
        </w:tabs>
        <w:ind w:left="2940" w:hanging="420"/>
      </w:pPr>
      <w:rPr>
        <w:rFonts w:cs="Times New Roman"/>
      </w:rPr>
    </w:lvl>
    <w:lvl w:ilvl="7" w:tplc="04090019" w:tentative="1">
      <w:start w:val="1"/>
      <w:numFmt w:val="lowerLetter"/>
      <w:lvlText w:val="%8)"/>
      <w:lvlJc w:val="left"/>
      <w:pPr>
        <w:tabs>
          <w:tab w:val="num" w:pos="3360"/>
        </w:tabs>
        <w:ind w:left="3360" w:hanging="420"/>
      </w:pPr>
      <w:rPr>
        <w:rFonts w:cs="Times New Roman"/>
      </w:rPr>
    </w:lvl>
    <w:lvl w:ilvl="8" w:tplc="0409001B" w:tentative="1">
      <w:start w:val="1"/>
      <w:numFmt w:val="lowerRoman"/>
      <w:lvlText w:val="%9."/>
      <w:lvlJc w:val="right"/>
      <w:pPr>
        <w:tabs>
          <w:tab w:val="num" w:pos="3780"/>
        </w:tabs>
        <w:ind w:left="3780" w:hanging="420"/>
      </w:pPr>
      <w:rPr>
        <w:rFonts w:cs="Times New Roman"/>
      </w:rPr>
    </w:lvl>
  </w:abstractNum>
  <w:abstractNum w:abstractNumId="8" w15:restartNumberingAfterBreak="0">
    <w:nsid w:val="37AA2275"/>
    <w:multiLevelType w:val="hybridMultilevel"/>
    <w:tmpl w:val="8B166254"/>
    <w:lvl w:ilvl="0" w:tplc="04090005">
      <w:start w:val="1"/>
      <w:numFmt w:val="decimal"/>
      <w:lvlText w:val="%1、"/>
      <w:lvlJc w:val="left"/>
      <w:pPr>
        <w:tabs>
          <w:tab w:val="num" w:pos="426"/>
        </w:tabs>
        <w:ind w:firstLine="567"/>
      </w:pPr>
      <w:rPr>
        <w:rFonts w:eastAsia="宋体" w:cs="Times New Roman" w:hint="eastAsia"/>
        <w:b w:val="0"/>
        <w:i w:val="0"/>
        <w:sz w:val="24"/>
        <w:szCs w:val="24"/>
      </w:rPr>
    </w:lvl>
    <w:lvl w:ilvl="1" w:tplc="04090003" w:tentative="1">
      <w:start w:val="1"/>
      <w:numFmt w:val="lowerLetter"/>
      <w:lvlText w:val="%2)"/>
      <w:lvlJc w:val="left"/>
      <w:pPr>
        <w:tabs>
          <w:tab w:val="num" w:pos="840"/>
        </w:tabs>
        <w:ind w:left="840" w:hanging="420"/>
      </w:pPr>
      <w:rPr>
        <w:rFonts w:cs="Times New Roman"/>
      </w:rPr>
    </w:lvl>
    <w:lvl w:ilvl="2" w:tplc="04090005" w:tentative="1">
      <w:start w:val="1"/>
      <w:numFmt w:val="lowerRoman"/>
      <w:lvlText w:val="%3."/>
      <w:lvlJc w:val="right"/>
      <w:pPr>
        <w:tabs>
          <w:tab w:val="num" w:pos="1260"/>
        </w:tabs>
        <w:ind w:left="1260" w:hanging="420"/>
      </w:pPr>
      <w:rPr>
        <w:rFonts w:cs="Times New Roman"/>
      </w:rPr>
    </w:lvl>
    <w:lvl w:ilvl="3" w:tplc="04090001" w:tentative="1">
      <w:start w:val="1"/>
      <w:numFmt w:val="decimal"/>
      <w:lvlText w:val="%4."/>
      <w:lvlJc w:val="left"/>
      <w:pPr>
        <w:tabs>
          <w:tab w:val="num" w:pos="1680"/>
        </w:tabs>
        <w:ind w:left="1680" w:hanging="420"/>
      </w:pPr>
      <w:rPr>
        <w:rFonts w:cs="Times New Roman"/>
      </w:rPr>
    </w:lvl>
    <w:lvl w:ilvl="4" w:tplc="04090003" w:tentative="1">
      <w:start w:val="1"/>
      <w:numFmt w:val="lowerLetter"/>
      <w:lvlText w:val="%5)"/>
      <w:lvlJc w:val="left"/>
      <w:pPr>
        <w:tabs>
          <w:tab w:val="num" w:pos="2100"/>
        </w:tabs>
        <w:ind w:left="2100" w:hanging="420"/>
      </w:pPr>
      <w:rPr>
        <w:rFonts w:cs="Times New Roman"/>
      </w:rPr>
    </w:lvl>
    <w:lvl w:ilvl="5" w:tplc="04090005" w:tentative="1">
      <w:start w:val="1"/>
      <w:numFmt w:val="lowerRoman"/>
      <w:lvlText w:val="%6."/>
      <w:lvlJc w:val="right"/>
      <w:pPr>
        <w:tabs>
          <w:tab w:val="num" w:pos="2520"/>
        </w:tabs>
        <w:ind w:left="2520" w:hanging="420"/>
      </w:pPr>
      <w:rPr>
        <w:rFonts w:cs="Times New Roman"/>
      </w:rPr>
    </w:lvl>
    <w:lvl w:ilvl="6" w:tplc="04090001" w:tentative="1">
      <w:start w:val="1"/>
      <w:numFmt w:val="decimal"/>
      <w:lvlText w:val="%7."/>
      <w:lvlJc w:val="left"/>
      <w:pPr>
        <w:tabs>
          <w:tab w:val="num" w:pos="2940"/>
        </w:tabs>
        <w:ind w:left="2940" w:hanging="420"/>
      </w:pPr>
      <w:rPr>
        <w:rFonts w:cs="Times New Roman"/>
      </w:rPr>
    </w:lvl>
    <w:lvl w:ilvl="7" w:tplc="04090003" w:tentative="1">
      <w:start w:val="1"/>
      <w:numFmt w:val="lowerLetter"/>
      <w:lvlText w:val="%8)"/>
      <w:lvlJc w:val="left"/>
      <w:pPr>
        <w:tabs>
          <w:tab w:val="num" w:pos="3360"/>
        </w:tabs>
        <w:ind w:left="3360" w:hanging="420"/>
      </w:pPr>
      <w:rPr>
        <w:rFonts w:cs="Times New Roman"/>
      </w:rPr>
    </w:lvl>
    <w:lvl w:ilvl="8" w:tplc="04090005" w:tentative="1">
      <w:start w:val="1"/>
      <w:numFmt w:val="lowerRoman"/>
      <w:lvlText w:val="%9."/>
      <w:lvlJc w:val="right"/>
      <w:pPr>
        <w:tabs>
          <w:tab w:val="num" w:pos="3780"/>
        </w:tabs>
        <w:ind w:left="3780" w:hanging="420"/>
      </w:pPr>
      <w:rPr>
        <w:rFonts w:cs="Times New Roman"/>
      </w:rPr>
    </w:lvl>
  </w:abstractNum>
  <w:abstractNum w:abstractNumId="9" w15:restartNumberingAfterBreak="0">
    <w:nsid w:val="38F72913"/>
    <w:multiLevelType w:val="hybridMultilevel"/>
    <w:tmpl w:val="61BE1EB4"/>
    <w:lvl w:ilvl="0" w:tplc="0409000B">
      <w:start w:val="1"/>
      <w:numFmt w:val="decimal"/>
      <w:lvlText w:val="%1、"/>
      <w:lvlJc w:val="left"/>
      <w:pPr>
        <w:tabs>
          <w:tab w:val="num" w:pos="426"/>
        </w:tabs>
        <w:ind w:firstLine="567"/>
      </w:pPr>
      <w:rPr>
        <w:rFonts w:eastAsia="宋体" w:cs="Times New Roman" w:hint="eastAsia"/>
        <w:b w:val="0"/>
        <w:i w:val="0"/>
        <w:sz w:val="24"/>
        <w:szCs w:val="24"/>
      </w:rPr>
    </w:lvl>
    <w:lvl w:ilvl="1" w:tplc="04090003">
      <w:start w:val="1"/>
      <w:numFmt w:val="lowerLetter"/>
      <w:lvlText w:val="%2)"/>
      <w:lvlJc w:val="left"/>
      <w:pPr>
        <w:tabs>
          <w:tab w:val="num" w:pos="840"/>
        </w:tabs>
        <w:ind w:left="840" w:hanging="420"/>
      </w:pPr>
      <w:rPr>
        <w:rFonts w:cs="Times New Roman"/>
      </w:rPr>
    </w:lvl>
    <w:lvl w:ilvl="2" w:tplc="35DA602A" w:tentative="1">
      <w:start w:val="1"/>
      <w:numFmt w:val="lowerRoman"/>
      <w:lvlText w:val="%3."/>
      <w:lvlJc w:val="right"/>
      <w:pPr>
        <w:tabs>
          <w:tab w:val="num" w:pos="1260"/>
        </w:tabs>
        <w:ind w:left="1260" w:hanging="420"/>
      </w:pPr>
      <w:rPr>
        <w:rFonts w:cs="Times New Roman"/>
      </w:rPr>
    </w:lvl>
    <w:lvl w:ilvl="3" w:tplc="04090001" w:tentative="1">
      <w:start w:val="1"/>
      <w:numFmt w:val="decimal"/>
      <w:lvlText w:val="%4."/>
      <w:lvlJc w:val="left"/>
      <w:pPr>
        <w:tabs>
          <w:tab w:val="num" w:pos="1680"/>
        </w:tabs>
        <w:ind w:left="1680" w:hanging="420"/>
      </w:pPr>
      <w:rPr>
        <w:rFonts w:cs="Times New Roman"/>
      </w:rPr>
    </w:lvl>
    <w:lvl w:ilvl="4" w:tplc="04090003" w:tentative="1">
      <w:start w:val="1"/>
      <w:numFmt w:val="lowerLetter"/>
      <w:lvlText w:val="%5)"/>
      <w:lvlJc w:val="left"/>
      <w:pPr>
        <w:tabs>
          <w:tab w:val="num" w:pos="2100"/>
        </w:tabs>
        <w:ind w:left="2100" w:hanging="420"/>
      </w:pPr>
      <w:rPr>
        <w:rFonts w:cs="Times New Roman"/>
      </w:rPr>
    </w:lvl>
    <w:lvl w:ilvl="5" w:tplc="04090005" w:tentative="1">
      <w:start w:val="1"/>
      <w:numFmt w:val="lowerRoman"/>
      <w:lvlText w:val="%6."/>
      <w:lvlJc w:val="right"/>
      <w:pPr>
        <w:tabs>
          <w:tab w:val="num" w:pos="2520"/>
        </w:tabs>
        <w:ind w:left="2520" w:hanging="420"/>
      </w:pPr>
      <w:rPr>
        <w:rFonts w:cs="Times New Roman"/>
      </w:rPr>
    </w:lvl>
    <w:lvl w:ilvl="6" w:tplc="04090001" w:tentative="1">
      <w:start w:val="1"/>
      <w:numFmt w:val="decimal"/>
      <w:lvlText w:val="%7."/>
      <w:lvlJc w:val="left"/>
      <w:pPr>
        <w:tabs>
          <w:tab w:val="num" w:pos="2940"/>
        </w:tabs>
        <w:ind w:left="2940" w:hanging="420"/>
      </w:pPr>
      <w:rPr>
        <w:rFonts w:cs="Times New Roman"/>
      </w:rPr>
    </w:lvl>
    <w:lvl w:ilvl="7" w:tplc="04090003" w:tentative="1">
      <w:start w:val="1"/>
      <w:numFmt w:val="lowerLetter"/>
      <w:lvlText w:val="%8)"/>
      <w:lvlJc w:val="left"/>
      <w:pPr>
        <w:tabs>
          <w:tab w:val="num" w:pos="3360"/>
        </w:tabs>
        <w:ind w:left="3360" w:hanging="420"/>
      </w:pPr>
      <w:rPr>
        <w:rFonts w:cs="Times New Roman"/>
      </w:rPr>
    </w:lvl>
    <w:lvl w:ilvl="8" w:tplc="04090005" w:tentative="1">
      <w:start w:val="1"/>
      <w:numFmt w:val="lowerRoman"/>
      <w:lvlText w:val="%9."/>
      <w:lvlJc w:val="right"/>
      <w:pPr>
        <w:tabs>
          <w:tab w:val="num" w:pos="3780"/>
        </w:tabs>
        <w:ind w:left="3780" w:hanging="420"/>
      </w:pPr>
      <w:rPr>
        <w:rFonts w:cs="Times New Roman"/>
      </w:rPr>
    </w:lvl>
  </w:abstractNum>
  <w:abstractNum w:abstractNumId="10" w15:restartNumberingAfterBreak="0">
    <w:nsid w:val="3B12720A"/>
    <w:multiLevelType w:val="hybridMultilevel"/>
    <w:tmpl w:val="74BE2BA2"/>
    <w:lvl w:ilvl="0" w:tplc="65EEBDE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15:restartNumberingAfterBreak="0">
    <w:nsid w:val="3D022522"/>
    <w:multiLevelType w:val="hybridMultilevel"/>
    <w:tmpl w:val="C2409826"/>
    <w:lvl w:ilvl="0" w:tplc="1BF4B5D8">
      <w:start w:val="1"/>
      <w:numFmt w:val="japaneseCounting"/>
      <w:lvlText w:val="（%1）"/>
      <w:lvlJc w:val="left"/>
      <w:pPr>
        <w:ind w:left="743" w:hanging="743"/>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15:restartNumberingAfterBreak="0">
    <w:nsid w:val="43B11E31"/>
    <w:multiLevelType w:val="multilevel"/>
    <w:tmpl w:val="0B90F1A2"/>
    <w:lvl w:ilvl="0">
      <w:start w:val="1"/>
      <w:numFmt w:val="chineseCountingThousand"/>
      <w:suff w:val="nothing"/>
      <w:lvlText w:val="第%1章 "/>
      <w:lvlJc w:val="left"/>
      <w:pPr>
        <w:ind w:left="0" w:firstLine="0"/>
      </w:pPr>
      <w:rPr>
        <w:rFonts w:hint="eastAsia"/>
        <w:b/>
        <w:i w:val="0"/>
      </w:rPr>
    </w:lvl>
    <w:lvl w:ilvl="1">
      <w:start w:val="1"/>
      <w:numFmt w:val="chineseCountingThousand"/>
      <w:suff w:val="nothing"/>
      <w:lvlText w:val="第%2条 "/>
      <w:lvlJc w:val="left"/>
      <w:pPr>
        <w:ind w:left="0" w:firstLine="0"/>
      </w:pPr>
      <w:rPr>
        <w:rFonts w:hint="eastAsia"/>
        <w:b/>
        <w:i w:val="0"/>
      </w:rPr>
    </w:lvl>
    <w:lvl w:ilvl="2">
      <w:start w:val="1"/>
      <w:numFmt w:val="chineseCountingThousand"/>
      <w:suff w:val="space"/>
      <w:lvlText w:val="（%3）"/>
      <w:lvlJc w:val="left"/>
      <w:pPr>
        <w:ind w:left="0" w:firstLine="0"/>
      </w:pPr>
      <w:rPr>
        <w:rFonts w:hint="eastAsia"/>
        <w:b/>
        <w:i w:val="0"/>
      </w:rPr>
    </w:lvl>
    <w:lvl w:ilvl="3">
      <w:start w:val="1"/>
      <w:numFmt w:val="decimal"/>
      <w:suff w:val="nothing"/>
      <w:lvlText w:val="（%4）"/>
      <w:lvlJc w:val="left"/>
      <w:pPr>
        <w:ind w:left="0" w:firstLine="0"/>
      </w:pPr>
      <w:rPr>
        <w:rFonts w:hint="eastAsia"/>
        <w:b w:val="0"/>
        <w:i w:val="0"/>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3" w15:restartNumberingAfterBreak="0">
    <w:nsid w:val="47DB5125"/>
    <w:multiLevelType w:val="hybridMultilevel"/>
    <w:tmpl w:val="3F54EC1E"/>
    <w:lvl w:ilvl="0" w:tplc="D9AE9B2E">
      <w:start w:val="1"/>
      <w:numFmt w:val="decimal"/>
      <w:lvlText w:val="%1、"/>
      <w:lvlJc w:val="left"/>
      <w:pPr>
        <w:tabs>
          <w:tab w:val="num" w:pos="567"/>
        </w:tabs>
        <w:ind w:firstLine="567"/>
      </w:pPr>
      <w:rPr>
        <w:rFonts w:eastAsia="宋体" w:cs="Times New Roman" w:hint="eastAsia"/>
        <w:b w:val="0"/>
        <w:i w:val="0"/>
        <w:sz w:val="24"/>
        <w:szCs w:val="24"/>
      </w:rPr>
    </w:lvl>
    <w:lvl w:ilvl="1" w:tplc="04090019" w:tentative="1">
      <w:start w:val="1"/>
      <w:numFmt w:val="lowerLetter"/>
      <w:lvlText w:val="%2)"/>
      <w:lvlJc w:val="left"/>
      <w:pPr>
        <w:tabs>
          <w:tab w:val="num" w:pos="840"/>
        </w:tabs>
        <w:ind w:left="840" w:hanging="420"/>
      </w:pPr>
      <w:rPr>
        <w:rFonts w:cs="Times New Roman"/>
      </w:rPr>
    </w:lvl>
    <w:lvl w:ilvl="2" w:tplc="0409001B">
      <w:start w:val="1"/>
      <w:numFmt w:val="lowerRoman"/>
      <w:lvlText w:val="%3."/>
      <w:lvlJc w:val="right"/>
      <w:pPr>
        <w:tabs>
          <w:tab w:val="num" w:pos="1260"/>
        </w:tabs>
        <w:ind w:left="1260" w:hanging="420"/>
      </w:pPr>
      <w:rPr>
        <w:rFonts w:cs="Times New Roman"/>
      </w:rPr>
    </w:lvl>
    <w:lvl w:ilvl="3" w:tplc="0409000F" w:tentative="1">
      <w:start w:val="1"/>
      <w:numFmt w:val="decimal"/>
      <w:lvlText w:val="%4."/>
      <w:lvlJc w:val="left"/>
      <w:pPr>
        <w:tabs>
          <w:tab w:val="num" w:pos="1680"/>
        </w:tabs>
        <w:ind w:left="1680" w:hanging="420"/>
      </w:pPr>
      <w:rPr>
        <w:rFonts w:cs="Times New Roman"/>
      </w:rPr>
    </w:lvl>
    <w:lvl w:ilvl="4" w:tplc="04090019" w:tentative="1">
      <w:start w:val="1"/>
      <w:numFmt w:val="lowerLetter"/>
      <w:lvlText w:val="%5)"/>
      <w:lvlJc w:val="left"/>
      <w:pPr>
        <w:tabs>
          <w:tab w:val="num" w:pos="2100"/>
        </w:tabs>
        <w:ind w:left="2100" w:hanging="420"/>
      </w:pPr>
      <w:rPr>
        <w:rFonts w:cs="Times New Roman"/>
      </w:rPr>
    </w:lvl>
    <w:lvl w:ilvl="5" w:tplc="0409001B" w:tentative="1">
      <w:start w:val="1"/>
      <w:numFmt w:val="lowerRoman"/>
      <w:lvlText w:val="%6."/>
      <w:lvlJc w:val="right"/>
      <w:pPr>
        <w:tabs>
          <w:tab w:val="num" w:pos="2520"/>
        </w:tabs>
        <w:ind w:left="2520" w:hanging="420"/>
      </w:pPr>
      <w:rPr>
        <w:rFonts w:cs="Times New Roman"/>
      </w:rPr>
    </w:lvl>
    <w:lvl w:ilvl="6" w:tplc="0409000F" w:tentative="1">
      <w:start w:val="1"/>
      <w:numFmt w:val="decimal"/>
      <w:lvlText w:val="%7."/>
      <w:lvlJc w:val="left"/>
      <w:pPr>
        <w:tabs>
          <w:tab w:val="num" w:pos="2940"/>
        </w:tabs>
        <w:ind w:left="2940" w:hanging="420"/>
      </w:pPr>
      <w:rPr>
        <w:rFonts w:cs="Times New Roman"/>
      </w:rPr>
    </w:lvl>
    <w:lvl w:ilvl="7" w:tplc="04090019" w:tentative="1">
      <w:start w:val="1"/>
      <w:numFmt w:val="lowerLetter"/>
      <w:lvlText w:val="%8)"/>
      <w:lvlJc w:val="left"/>
      <w:pPr>
        <w:tabs>
          <w:tab w:val="num" w:pos="3360"/>
        </w:tabs>
        <w:ind w:left="3360" w:hanging="420"/>
      </w:pPr>
      <w:rPr>
        <w:rFonts w:cs="Times New Roman"/>
      </w:rPr>
    </w:lvl>
    <w:lvl w:ilvl="8" w:tplc="0409001B" w:tentative="1">
      <w:start w:val="1"/>
      <w:numFmt w:val="lowerRoman"/>
      <w:lvlText w:val="%9."/>
      <w:lvlJc w:val="right"/>
      <w:pPr>
        <w:tabs>
          <w:tab w:val="num" w:pos="3780"/>
        </w:tabs>
        <w:ind w:left="3780" w:hanging="420"/>
      </w:pPr>
      <w:rPr>
        <w:rFonts w:cs="Times New Roman"/>
      </w:rPr>
    </w:lvl>
  </w:abstractNum>
  <w:abstractNum w:abstractNumId="14" w15:restartNumberingAfterBreak="0">
    <w:nsid w:val="4A6F3D6F"/>
    <w:multiLevelType w:val="hybridMultilevel"/>
    <w:tmpl w:val="6CBAA310"/>
    <w:lvl w:ilvl="0" w:tplc="8F7AA4C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15:restartNumberingAfterBreak="0">
    <w:nsid w:val="4BFB1203"/>
    <w:multiLevelType w:val="hybridMultilevel"/>
    <w:tmpl w:val="98EE5D9A"/>
    <w:lvl w:ilvl="0" w:tplc="F97EEE32">
      <w:start w:val="1"/>
      <w:numFmt w:val="decimal"/>
      <w:lvlText w:val="%1、"/>
      <w:lvlJc w:val="left"/>
      <w:pPr>
        <w:tabs>
          <w:tab w:val="num" w:pos="567"/>
        </w:tabs>
        <w:ind w:left="0" w:firstLine="567"/>
      </w:pPr>
      <w:rPr>
        <w:rFonts w:eastAsia="仿宋_GB2312" w:hint="eastAsia"/>
        <w:b w:val="0"/>
        <w:i w:val="0"/>
        <w:sz w:val="24"/>
        <w:szCs w:val="24"/>
      </w:rPr>
    </w:lvl>
    <w:lvl w:ilvl="1" w:tplc="04090019" w:tentative="1">
      <w:start w:val="1"/>
      <w:numFmt w:val="lowerLetter"/>
      <w:lvlText w:val="%2)"/>
      <w:lvlJc w:val="left"/>
      <w:pPr>
        <w:ind w:left="1293" w:hanging="420"/>
      </w:pPr>
    </w:lvl>
    <w:lvl w:ilvl="2" w:tplc="0409001B" w:tentative="1">
      <w:start w:val="1"/>
      <w:numFmt w:val="lowerRoman"/>
      <w:lvlText w:val="%3."/>
      <w:lvlJc w:val="right"/>
      <w:pPr>
        <w:ind w:left="1713" w:hanging="420"/>
      </w:pPr>
    </w:lvl>
    <w:lvl w:ilvl="3" w:tplc="0409000F" w:tentative="1">
      <w:start w:val="1"/>
      <w:numFmt w:val="decimal"/>
      <w:lvlText w:val="%4."/>
      <w:lvlJc w:val="left"/>
      <w:pPr>
        <w:ind w:left="2133" w:hanging="420"/>
      </w:pPr>
    </w:lvl>
    <w:lvl w:ilvl="4" w:tplc="04090019" w:tentative="1">
      <w:start w:val="1"/>
      <w:numFmt w:val="lowerLetter"/>
      <w:lvlText w:val="%5)"/>
      <w:lvlJc w:val="left"/>
      <w:pPr>
        <w:ind w:left="2553" w:hanging="420"/>
      </w:pPr>
    </w:lvl>
    <w:lvl w:ilvl="5" w:tplc="0409001B" w:tentative="1">
      <w:start w:val="1"/>
      <w:numFmt w:val="lowerRoman"/>
      <w:lvlText w:val="%6."/>
      <w:lvlJc w:val="right"/>
      <w:pPr>
        <w:ind w:left="2973" w:hanging="420"/>
      </w:pPr>
    </w:lvl>
    <w:lvl w:ilvl="6" w:tplc="0409000F" w:tentative="1">
      <w:start w:val="1"/>
      <w:numFmt w:val="decimal"/>
      <w:lvlText w:val="%7."/>
      <w:lvlJc w:val="left"/>
      <w:pPr>
        <w:ind w:left="3393" w:hanging="420"/>
      </w:pPr>
    </w:lvl>
    <w:lvl w:ilvl="7" w:tplc="04090019" w:tentative="1">
      <w:start w:val="1"/>
      <w:numFmt w:val="lowerLetter"/>
      <w:lvlText w:val="%8)"/>
      <w:lvlJc w:val="left"/>
      <w:pPr>
        <w:ind w:left="3813" w:hanging="420"/>
      </w:pPr>
    </w:lvl>
    <w:lvl w:ilvl="8" w:tplc="0409001B" w:tentative="1">
      <w:start w:val="1"/>
      <w:numFmt w:val="lowerRoman"/>
      <w:lvlText w:val="%9."/>
      <w:lvlJc w:val="right"/>
      <w:pPr>
        <w:ind w:left="4233" w:hanging="420"/>
      </w:pPr>
    </w:lvl>
  </w:abstractNum>
  <w:abstractNum w:abstractNumId="16" w15:restartNumberingAfterBreak="0">
    <w:nsid w:val="53411CEA"/>
    <w:multiLevelType w:val="hybridMultilevel"/>
    <w:tmpl w:val="DCBA473C"/>
    <w:lvl w:ilvl="0" w:tplc="416E7392">
      <w:start w:val="1"/>
      <w:numFmt w:val="decimal"/>
      <w:lvlText w:val="%1、"/>
      <w:lvlJc w:val="left"/>
      <w:pPr>
        <w:tabs>
          <w:tab w:val="num" w:pos="454"/>
        </w:tabs>
        <w:ind w:firstLine="454"/>
      </w:pPr>
      <w:rPr>
        <w:rFonts w:cs="Times New Roman" w:hint="eastAsia"/>
      </w:rPr>
    </w:lvl>
    <w:lvl w:ilvl="1" w:tplc="CF988B4C">
      <w:start w:val="1"/>
      <w:numFmt w:val="decimal"/>
      <w:lvlText w:val="%2、"/>
      <w:lvlJc w:val="left"/>
      <w:pPr>
        <w:tabs>
          <w:tab w:val="num" w:pos="392"/>
        </w:tabs>
        <w:ind w:left="-28" w:firstLine="454"/>
      </w:pPr>
      <w:rPr>
        <w:rFonts w:cs="Times New Roman" w:hint="eastAsia"/>
      </w:rPr>
    </w:lvl>
    <w:lvl w:ilvl="2" w:tplc="0409001B" w:tentative="1">
      <w:start w:val="1"/>
      <w:numFmt w:val="lowerRoman"/>
      <w:lvlText w:val="%3."/>
      <w:lvlJc w:val="right"/>
      <w:pPr>
        <w:tabs>
          <w:tab w:val="num" w:pos="1260"/>
        </w:tabs>
        <w:ind w:left="1260" w:hanging="420"/>
      </w:pPr>
      <w:rPr>
        <w:rFonts w:cs="Times New Roman"/>
      </w:rPr>
    </w:lvl>
    <w:lvl w:ilvl="3" w:tplc="0409000F" w:tentative="1">
      <w:start w:val="1"/>
      <w:numFmt w:val="decimal"/>
      <w:lvlText w:val="%4."/>
      <w:lvlJc w:val="left"/>
      <w:pPr>
        <w:tabs>
          <w:tab w:val="num" w:pos="1680"/>
        </w:tabs>
        <w:ind w:left="1680" w:hanging="420"/>
      </w:pPr>
      <w:rPr>
        <w:rFonts w:cs="Times New Roman"/>
      </w:rPr>
    </w:lvl>
    <w:lvl w:ilvl="4" w:tplc="04090019" w:tentative="1">
      <w:start w:val="1"/>
      <w:numFmt w:val="lowerLetter"/>
      <w:lvlText w:val="%5)"/>
      <w:lvlJc w:val="left"/>
      <w:pPr>
        <w:tabs>
          <w:tab w:val="num" w:pos="2100"/>
        </w:tabs>
        <w:ind w:left="2100" w:hanging="420"/>
      </w:pPr>
      <w:rPr>
        <w:rFonts w:cs="Times New Roman"/>
      </w:rPr>
    </w:lvl>
    <w:lvl w:ilvl="5" w:tplc="0409001B" w:tentative="1">
      <w:start w:val="1"/>
      <w:numFmt w:val="lowerRoman"/>
      <w:lvlText w:val="%6."/>
      <w:lvlJc w:val="right"/>
      <w:pPr>
        <w:tabs>
          <w:tab w:val="num" w:pos="2520"/>
        </w:tabs>
        <w:ind w:left="2520" w:hanging="420"/>
      </w:pPr>
      <w:rPr>
        <w:rFonts w:cs="Times New Roman"/>
      </w:rPr>
    </w:lvl>
    <w:lvl w:ilvl="6" w:tplc="0409000F" w:tentative="1">
      <w:start w:val="1"/>
      <w:numFmt w:val="decimal"/>
      <w:lvlText w:val="%7."/>
      <w:lvlJc w:val="left"/>
      <w:pPr>
        <w:tabs>
          <w:tab w:val="num" w:pos="2940"/>
        </w:tabs>
        <w:ind w:left="2940" w:hanging="420"/>
      </w:pPr>
      <w:rPr>
        <w:rFonts w:cs="Times New Roman"/>
      </w:rPr>
    </w:lvl>
    <w:lvl w:ilvl="7" w:tplc="04090019" w:tentative="1">
      <w:start w:val="1"/>
      <w:numFmt w:val="lowerLetter"/>
      <w:lvlText w:val="%8)"/>
      <w:lvlJc w:val="left"/>
      <w:pPr>
        <w:tabs>
          <w:tab w:val="num" w:pos="3360"/>
        </w:tabs>
        <w:ind w:left="3360" w:hanging="420"/>
      </w:pPr>
      <w:rPr>
        <w:rFonts w:cs="Times New Roman"/>
      </w:rPr>
    </w:lvl>
    <w:lvl w:ilvl="8" w:tplc="0409001B" w:tentative="1">
      <w:start w:val="1"/>
      <w:numFmt w:val="lowerRoman"/>
      <w:lvlText w:val="%9."/>
      <w:lvlJc w:val="right"/>
      <w:pPr>
        <w:tabs>
          <w:tab w:val="num" w:pos="3780"/>
        </w:tabs>
        <w:ind w:left="3780" w:hanging="420"/>
      </w:pPr>
      <w:rPr>
        <w:rFonts w:cs="Times New Roman"/>
      </w:rPr>
    </w:lvl>
  </w:abstractNum>
  <w:abstractNum w:abstractNumId="17" w15:restartNumberingAfterBreak="0">
    <w:nsid w:val="555C7AEF"/>
    <w:multiLevelType w:val="multilevel"/>
    <w:tmpl w:val="7478B8D4"/>
    <w:lvl w:ilvl="0">
      <w:start w:val="1"/>
      <w:numFmt w:val="chineseCountingThousand"/>
      <w:suff w:val="nothing"/>
      <w:lvlText w:val="第%1章 "/>
      <w:lvlJc w:val="left"/>
      <w:pPr>
        <w:ind w:left="0" w:firstLine="0"/>
      </w:pPr>
      <w:rPr>
        <w:rFonts w:hint="eastAsia"/>
        <w:b/>
        <w:i w:val="0"/>
        <w:lang w:val="en-US"/>
      </w:rPr>
    </w:lvl>
    <w:lvl w:ilvl="1">
      <w:start w:val="1"/>
      <w:numFmt w:val="chineseCountingThousand"/>
      <w:suff w:val="nothing"/>
      <w:lvlText w:val="第%2条 "/>
      <w:lvlJc w:val="left"/>
      <w:pPr>
        <w:ind w:left="0" w:firstLine="0"/>
      </w:pPr>
      <w:rPr>
        <w:rFonts w:hint="eastAsia"/>
        <w:b/>
        <w:i w:val="0"/>
        <w:lang w:val="en-US"/>
      </w:rPr>
    </w:lvl>
    <w:lvl w:ilvl="2">
      <w:start w:val="1"/>
      <w:numFmt w:val="chineseCountingThousand"/>
      <w:suff w:val="space"/>
      <w:lvlText w:val="（%3）"/>
      <w:lvlJc w:val="left"/>
      <w:pPr>
        <w:ind w:left="0" w:firstLine="0"/>
      </w:pPr>
      <w:rPr>
        <w:rFonts w:hint="eastAsia"/>
        <w:b/>
        <w:i w:val="0"/>
        <w:lang w:val="en-US"/>
      </w:rPr>
    </w:lvl>
    <w:lvl w:ilvl="3">
      <w:start w:val="1"/>
      <w:numFmt w:val="decimal"/>
      <w:suff w:val="nothing"/>
      <w:lvlText w:val="（%4）"/>
      <w:lvlJc w:val="left"/>
      <w:pPr>
        <w:ind w:left="0" w:firstLine="0"/>
      </w:pPr>
      <w:rPr>
        <w:rFonts w:hint="eastAsia"/>
        <w:b w:val="0"/>
        <w:i w:val="0"/>
        <w:lang w:val="en-US"/>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8" w15:restartNumberingAfterBreak="0">
    <w:nsid w:val="5856344A"/>
    <w:multiLevelType w:val="hybridMultilevel"/>
    <w:tmpl w:val="4D38F2A8"/>
    <w:lvl w:ilvl="0" w:tplc="0902F756">
      <w:start w:val="1"/>
      <w:numFmt w:val="chineseCountingThousand"/>
      <w:lvlText w:val="（%1）"/>
      <w:lvlJc w:val="left"/>
      <w:pPr>
        <w:tabs>
          <w:tab w:val="num" w:pos="0"/>
        </w:tabs>
        <w:ind w:left="0" w:firstLine="567"/>
      </w:pPr>
      <w:rPr>
        <w:rFonts w:hint="eastAsia"/>
      </w:rPr>
    </w:lvl>
    <w:lvl w:ilvl="1" w:tplc="04090019" w:tentative="1">
      <w:start w:val="1"/>
      <w:numFmt w:val="lowerLetter"/>
      <w:lvlText w:val="%2)"/>
      <w:lvlJc w:val="left"/>
      <w:pPr>
        <w:ind w:left="840" w:hanging="420"/>
      </w:pPr>
    </w:lvl>
    <w:lvl w:ilvl="2" w:tplc="0409001B">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15:restartNumberingAfterBreak="0">
    <w:nsid w:val="591E2A89"/>
    <w:multiLevelType w:val="hybridMultilevel"/>
    <w:tmpl w:val="E4427EB8"/>
    <w:lvl w:ilvl="0" w:tplc="FFFFFFFF">
      <w:start w:val="1"/>
      <w:numFmt w:val="japaneseCounting"/>
      <w:lvlText w:val="第%1章"/>
      <w:lvlJc w:val="left"/>
      <w:pPr>
        <w:tabs>
          <w:tab w:val="num" w:pos="0"/>
        </w:tabs>
      </w:pPr>
      <w:rPr>
        <w:rFonts w:ascii="宋体" w:eastAsia="宋体" w:hAnsi="宋体" w:cs="Times New Roman"/>
        <w:b/>
        <w:i w:val="0"/>
        <w:sz w:val="24"/>
        <w:szCs w:val="24"/>
      </w:rPr>
    </w:lvl>
    <w:lvl w:ilvl="1" w:tplc="0936B076">
      <w:start w:val="1"/>
      <w:numFmt w:val="chineseCountingThousand"/>
      <w:lvlText w:val="第%2条"/>
      <w:lvlJc w:val="left"/>
      <w:pPr>
        <w:tabs>
          <w:tab w:val="num" w:pos="993"/>
        </w:tabs>
      </w:pPr>
      <w:rPr>
        <w:rFonts w:eastAsia="宋体" w:cs="Times New Roman" w:hint="eastAsia"/>
        <w:b/>
        <w:i w:val="0"/>
        <w:sz w:val="24"/>
        <w:szCs w:val="24"/>
        <w:lang w:val="en-US"/>
      </w:rPr>
    </w:lvl>
    <w:lvl w:ilvl="2" w:tplc="FFFFFFFF">
      <w:start w:val="1"/>
      <w:numFmt w:val="lowerRoman"/>
      <w:lvlText w:val="%3."/>
      <w:lvlJc w:val="right"/>
      <w:pPr>
        <w:tabs>
          <w:tab w:val="num" w:pos="1260"/>
        </w:tabs>
        <w:ind w:left="1260" w:hanging="420"/>
      </w:pPr>
      <w:rPr>
        <w:rFonts w:cs="Times New Roman"/>
      </w:rPr>
    </w:lvl>
    <w:lvl w:ilvl="3" w:tplc="FFFFFFFF">
      <w:start w:val="1"/>
      <w:numFmt w:val="decimal"/>
      <w:lvlText w:val="%4."/>
      <w:lvlJc w:val="left"/>
      <w:pPr>
        <w:tabs>
          <w:tab w:val="num" w:pos="1680"/>
        </w:tabs>
        <w:ind w:left="1680" w:hanging="420"/>
      </w:pPr>
      <w:rPr>
        <w:rFonts w:cs="Times New Roman"/>
      </w:rPr>
    </w:lvl>
    <w:lvl w:ilvl="4" w:tplc="FFFFFFFF" w:tentative="1">
      <w:start w:val="1"/>
      <w:numFmt w:val="lowerLetter"/>
      <w:lvlText w:val="%5)"/>
      <w:lvlJc w:val="left"/>
      <w:pPr>
        <w:tabs>
          <w:tab w:val="num" w:pos="2100"/>
        </w:tabs>
        <w:ind w:left="2100" w:hanging="420"/>
      </w:pPr>
      <w:rPr>
        <w:rFonts w:cs="Times New Roman"/>
      </w:rPr>
    </w:lvl>
    <w:lvl w:ilvl="5" w:tplc="FFFFFFFF" w:tentative="1">
      <w:start w:val="1"/>
      <w:numFmt w:val="lowerRoman"/>
      <w:lvlText w:val="%6."/>
      <w:lvlJc w:val="right"/>
      <w:pPr>
        <w:tabs>
          <w:tab w:val="num" w:pos="2520"/>
        </w:tabs>
        <w:ind w:left="2520" w:hanging="420"/>
      </w:pPr>
      <w:rPr>
        <w:rFonts w:cs="Times New Roman"/>
      </w:rPr>
    </w:lvl>
    <w:lvl w:ilvl="6" w:tplc="FFFFFFFF" w:tentative="1">
      <w:start w:val="1"/>
      <w:numFmt w:val="decimal"/>
      <w:lvlText w:val="%7."/>
      <w:lvlJc w:val="left"/>
      <w:pPr>
        <w:tabs>
          <w:tab w:val="num" w:pos="2940"/>
        </w:tabs>
        <w:ind w:left="2940" w:hanging="420"/>
      </w:pPr>
      <w:rPr>
        <w:rFonts w:cs="Times New Roman"/>
      </w:rPr>
    </w:lvl>
    <w:lvl w:ilvl="7" w:tplc="FFFFFFFF" w:tentative="1">
      <w:start w:val="1"/>
      <w:numFmt w:val="lowerLetter"/>
      <w:lvlText w:val="%8)"/>
      <w:lvlJc w:val="left"/>
      <w:pPr>
        <w:tabs>
          <w:tab w:val="num" w:pos="3360"/>
        </w:tabs>
        <w:ind w:left="3360" w:hanging="420"/>
      </w:pPr>
      <w:rPr>
        <w:rFonts w:cs="Times New Roman"/>
      </w:rPr>
    </w:lvl>
    <w:lvl w:ilvl="8" w:tplc="FFFFFFFF" w:tentative="1">
      <w:start w:val="1"/>
      <w:numFmt w:val="lowerRoman"/>
      <w:lvlText w:val="%9."/>
      <w:lvlJc w:val="right"/>
      <w:pPr>
        <w:tabs>
          <w:tab w:val="num" w:pos="3780"/>
        </w:tabs>
        <w:ind w:left="3780" w:hanging="420"/>
      </w:pPr>
      <w:rPr>
        <w:rFonts w:cs="Times New Roman"/>
      </w:rPr>
    </w:lvl>
  </w:abstractNum>
  <w:abstractNum w:abstractNumId="20" w15:restartNumberingAfterBreak="0">
    <w:nsid w:val="5AED122B"/>
    <w:multiLevelType w:val="multilevel"/>
    <w:tmpl w:val="7478B8D4"/>
    <w:lvl w:ilvl="0">
      <w:start w:val="1"/>
      <w:numFmt w:val="chineseCountingThousand"/>
      <w:suff w:val="nothing"/>
      <w:lvlText w:val="第%1章 "/>
      <w:lvlJc w:val="left"/>
      <w:pPr>
        <w:ind w:left="0" w:firstLine="0"/>
      </w:pPr>
      <w:rPr>
        <w:rFonts w:hint="eastAsia"/>
        <w:b/>
        <w:i w:val="0"/>
        <w:lang w:val="en-US"/>
      </w:rPr>
    </w:lvl>
    <w:lvl w:ilvl="1">
      <w:start w:val="1"/>
      <w:numFmt w:val="chineseCountingThousand"/>
      <w:suff w:val="nothing"/>
      <w:lvlText w:val="第%2条 "/>
      <w:lvlJc w:val="left"/>
      <w:pPr>
        <w:ind w:left="0" w:firstLine="0"/>
      </w:pPr>
      <w:rPr>
        <w:rFonts w:hint="eastAsia"/>
        <w:b/>
        <w:i w:val="0"/>
        <w:lang w:val="en-US"/>
      </w:rPr>
    </w:lvl>
    <w:lvl w:ilvl="2">
      <w:start w:val="1"/>
      <w:numFmt w:val="chineseCountingThousand"/>
      <w:suff w:val="space"/>
      <w:lvlText w:val="（%3）"/>
      <w:lvlJc w:val="left"/>
      <w:pPr>
        <w:ind w:left="0" w:firstLine="0"/>
      </w:pPr>
      <w:rPr>
        <w:rFonts w:hint="eastAsia"/>
        <w:b/>
        <w:i w:val="0"/>
        <w:lang w:val="en-US"/>
      </w:rPr>
    </w:lvl>
    <w:lvl w:ilvl="3">
      <w:start w:val="1"/>
      <w:numFmt w:val="decimal"/>
      <w:suff w:val="nothing"/>
      <w:lvlText w:val="（%4）"/>
      <w:lvlJc w:val="left"/>
      <w:pPr>
        <w:ind w:left="0" w:firstLine="0"/>
      </w:pPr>
      <w:rPr>
        <w:rFonts w:hint="eastAsia"/>
        <w:b w:val="0"/>
        <w:i w:val="0"/>
        <w:lang w:val="en-US"/>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21" w15:restartNumberingAfterBreak="0">
    <w:nsid w:val="5C45024D"/>
    <w:multiLevelType w:val="hybridMultilevel"/>
    <w:tmpl w:val="446A2960"/>
    <w:lvl w:ilvl="0" w:tplc="39E8CC54">
      <w:start w:val="1"/>
      <w:numFmt w:val="decimal"/>
      <w:lvlText w:val="（%1）"/>
      <w:lvlJc w:val="left"/>
      <w:pPr>
        <w:tabs>
          <w:tab w:val="num" w:pos="0"/>
        </w:tabs>
        <w:ind w:firstLine="567"/>
      </w:pPr>
      <w:rPr>
        <w:rFonts w:cs="Times New Roman" w:hint="eastAsia"/>
      </w:rPr>
    </w:lvl>
    <w:lvl w:ilvl="1" w:tplc="04090019" w:tentative="1">
      <w:start w:val="1"/>
      <w:numFmt w:val="lowerLetter"/>
      <w:lvlText w:val="%2)"/>
      <w:lvlJc w:val="left"/>
      <w:pPr>
        <w:ind w:left="840" w:hanging="420"/>
      </w:pPr>
      <w:rPr>
        <w:rFonts w:cs="Times New Roman"/>
      </w:rPr>
    </w:lvl>
    <w:lvl w:ilvl="2" w:tplc="0409001B" w:tentative="1">
      <w:start w:val="1"/>
      <w:numFmt w:val="lowerRoman"/>
      <w:lvlText w:val="%3."/>
      <w:lvlJc w:val="right"/>
      <w:pPr>
        <w:ind w:left="1260" w:hanging="420"/>
      </w:pPr>
      <w:rPr>
        <w:rFonts w:cs="Times New Roman"/>
      </w:rPr>
    </w:lvl>
    <w:lvl w:ilvl="3" w:tplc="0409000F" w:tentative="1">
      <w:start w:val="1"/>
      <w:numFmt w:val="decimal"/>
      <w:lvlText w:val="%4."/>
      <w:lvlJc w:val="left"/>
      <w:pPr>
        <w:ind w:left="1680" w:hanging="420"/>
      </w:pPr>
      <w:rPr>
        <w:rFonts w:cs="Times New Roman"/>
      </w:rPr>
    </w:lvl>
    <w:lvl w:ilvl="4" w:tplc="04090019" w:tentative="1">
      <w:start w:val="1"/>
      <w:numFmt w:val="lowerLetter"/>
      <w:lvlText w:val="%5)"/>
      <w:lvlJc w:val="left"/>
      <w:pPr>
        <w:ind w:left="2100" w:hanging="420"/>
      </w:pPr>
      <w:rPr>
        <w:rFonts w:cs="Times New Roman"/>
      </w:rPr>
    </w:lvl>
    <w:lvl w:ilvl="5" w:tplc="0409001B" w:tentative="1">
      <w:start w:val="1"/>
      <w:numFmt w:val="lowerRoman"/>
      <w:lvlText w:val="%6."/>
      <w:lvlJc w:val="right"/>
      <w:pPr>
        <w:ind w:left="2520" w:hanging="420"/>
      </w:pPr>
      <w:rPr>
        <w:rFonts w:cs="Times New Roman"/>
      </w:rPr>
    </w:lvl>
    <w:lvl w:ilvl="6" w:tplc="0409000F" w:tentative="1">
      <w:start w:val="1"/>
      <w:numFmt w:val="decimal"/>
      <w:lvlText w:val="%7."/>
      <w:lvlJc w:val="left"/>
      <w:pPr>
        <w:ind w:left="2940" w:hanging="420"/>
      </w:pPr>
      <w:rPr>
        <w:rFonts w:cs="Times New Roman"/>
      </w:rPr>
    </w:lvl>
    <w:lvl w:ilvl="7" w:tplc="04090019" w:tentative="1">
      <w:start w:val="1"/>
      <w:numFmt w:val="lowerLetter"/>
      <w:lvlText w:val="%8)"/>
      <w:lvlJc w:val="left"/>
      <w:pPr>
        <w:ind w:left="3360" w:hanging="420"/>
      </w:pPr>
      <w:rPr>
        <w:rFonts w:cs="Times New Roman"/>
      </w:rPr>
    </w:lvl>
    <w:lvl w:ilvl="8" w:tplc="0409001B" w:tentative="1">
      <w:start w:val="1"/>
      <w:numFmt w:val="lowerRoman"/>
      <w:lvlText w:val="%9."/>
      <w:lvlJc w:val="right"/>
      <w:pPr>
        <w:ind w:left="3780" w:hanging="420"/>
      </w:pPr>
      <w:rPr>
        <w:rFonts w:cs="Times New Roman"/>
      </w:rPr>
    </w:lvl>
  </w:abstractNum>
  <w:abstractNum w:abstractNumId="22" w15:restartNumberingAfterBreak="0">
    <w:nsid w:val="5E791F77"/>
    <w:multiLevelType w:val="hybridMultilevel"/>
    <w:tmpl w:val="818C7974"/>
    <w:lvl w:ilvl="0" w:tplc="FFFFFFFF">
      <w:start w:val="1"/>
      <w:numFmt w:val="japaneseCounting"/>
      <w:lvlText w:val="第%1章"/>
      <w:lvlJc w:val="left"/>
      <w:pPr>
        <w:tabs>
          <w:tab w:val="num" w:pos="0"/>
        </w:tabs>
      </w:pPr>
      <w:rPr>
        <w:rFonts w:ascii="宋体" w:eastAsia="宋体" w:hAnsi="宋体" w:cs="Times New Roman"/>
        <w:b/>
        <w:i w:val="0"/>
        <w:sz w:val="24"/>
        <w:szCs w:val="24"/>
      </w:rPr>
    </w:lvl>
    <w:lvl w:ilvl="1" w:tplc="8E945DAC">
      <w:start w:val="1"/>
      <w:numFmt w:val="chineseCountingThousand"/>
      <w:lvlText w:val="(%2)"/>
      <w:lvlJc w:val="left"/>
      <w:pPr>
        <w:tabs>
          <w:tab w:val="num" w:pos="993"/>
        </w:tabs>
      </w:pPr>
      <w:rPr>
        <w:rFonts w:hint="eastAsia"/>
        <w:b/>
        <w:i w:val="0"/>
        <w:sz w:val="24"/>
        <w:szCs w:val="24"/>
        <w:lang w:val="en-US"/>
      </w:rPr>
    </w:lvl>
    <w:lvl w:ilvl="2" w:tplc="FFFFFFFF">
      <w:start w:val="1"/>
      <w:numFmt w:val="lowerRoman"/>
      <w:lvlText w:val="%3."/>
      <w:lvlJc w:val="right"/>
      <w:pPr>
        <w:tabs>
          <w:tab w:val="num" w:pos="1260"/>
        </w:tabs>
        <w:ind w:left="1260" w:hanging="420"/>
      </w:pPr>
      <w:rPr>
        <w:rFonts w:cs="Times New Roman"/>
      </w:rPr>
    </w:lvl>
    <w:lvl w:ilvl="3" w:tplc="FFFFFFFF">
      <w:start w:val="1"/>
      <w:numFmt w:val="decimal"/>
      <w:lvlText w:val="%4."/>
      <w:lvlJc w:val="left"/>
      <w:pPr>
        <w:tabs>
          <w:tab w:val="num" w:pos="1680"/>
        </w:tabs>
        <w:ind w:left="1680" w:hanging="420"/>
      </w:pPr>
      <w:rPr>
        <w:rFonts w:cs="Times New Roman"/>
      </w:rPr>
    </w:lvl>
    <w:lvl w:ilvl="4" w:tplc="FFFFFFFF" w:tentative="1">
      <w:start w:val="1"/>
      <w:numFmt w:val="lowerLetter"/>
      <w:lvlText w:val="%5)"/>
      <w:lvlJc w:val="left"/>
      <w:pPr>
        <w:tabs>
          <w:tab w:val="num" w:pos="2100"/>
        </w:tabs>
        <w:ind w:left="2100" w:hanging="420"/>
      </w:pPr>
      <w:rPr>
        <w:rFonts w:cs="Times New Roman"/>
      </w:rPr>
    </w:lvl>
    <w:lvl w:ilvl="5" w:tplc="FFFFFFFF" w:tentative="1">
      <w:start w:val="1"/>
      <w:numFmt w:val="lowerRoman"/>
      <w:lvlText w:val="%6."/>
      <w:lvlJc w:val="right"/>
      <w:pPr>
        <w:tabs>
          <w:tab w:val="num" w:pos="2520"/>
        </w:tabs>
        <w:ind w:left="2520" w:hanging="420"/>
      </w:pPr>
      <w:rPr>
        <w:rFonts w:cs="Times New Roman"/>
      </w:rPr>
    </w:lvl>
    <w:lvl w:ilvl="6" w:tplc="FFFFFFFF" w:tentative="1">
      <w:start w:val="1"/>
      <w:numFmt w:val="decimal"/>
      <w:lvlText w:val="%7."/>
      <w:lvlJc w:val="left"/>
      <w:pPr>
        <w:tabs>
          <w:tab w:val="num" w:pos="2940"/>
        </w:tabs>
        <w:ind w:left="2940" w:hanging="420"/>
      </w:pPr>
      <w:rPr>
        <w:rFonts w:cs="Times New Roman"/>
      </w:rPr>
    </w:lvl>
    <w:lvl w:ilvl="7" w:tplc="FFFFFFFF" w:tentative="1">
      <w:start w:val="1"/>
      <w:numFmt w:val="lowerLetter"/>
      <w:lvlText w:val="%8)"/>
      <w:lvlJc w:val="left"/>
      <w:pPr>
        <w:tabs>
          <w:tab w:val="num" w:pos="3360"/>
        </w:tabs>
        <w:ind w:left="3360" w:hanging="420"/>
      </w:pPr>
      <w:rPr>
        <w:rFonts w:cs="Times New Roman"/>
      </w:rPr>
    </w:lvl>
    <w:lvl w:ilvl="8" w:tplc="FFFFFFFF" w:tentative="1">
      <w:start w:val="1"/>
      <w:numFmt w:val="lowerRoman"/>
      <w:lvlText w:val="%9."/>
      <w:lvlJc w:val="right"/>
      <w:pPr>
        <w:tabs>
          <w:tab w:val="num" w:pos="3780"/>
        </w:tabs>
        <w:ind w:left="3780" w:hanging="420"/>
      </w:pPr>
      <w:rPr>
        <w:rFonts w:cs="Times New Roman"/>
      </w:rPr>
    </w:lvl>
  </w:abstractNum>
  <w:abstractNum w:abstractNumId="23" w15:restartNumberingAfterBreak="0">
    <w:nsid w:val="60804D5E"/>
    <w:multiLevelType w:val="hybridMultilevel"/>
    <w:tmpl w:val="8B166254"/>
    <w:lvl w:ilvl="0" w:tplc="04090005">
      <w:start w:val="1"/>
      <w:numFmt w:val="decimal"/>
      <w:lvlText w:val="%1、"/>
      <w:lvlJc w:val="left"/>
      <w:pPr>
        <w:tabs>
          <w:tab w:val="num" w:pos="426"/>
        </w:tabs>
        <w:ind w:firstLine="567"/>
      </w:pPr>
      <w:rPr>
        <w:rFonts w:eastAsia="宋体" w:cs="Times New Roman" w:hint="eastAsia"/>
        <w:b w:val="0"/>
        <w:i w:val="0"/>
        <w:sz w:val="24"/>
        <w:szCs w:val="24"/>
      </w:rPr>
    </w:lvl>
    <w:lvl w:ilvl="1" w:tplc="04090003" w:tentative="1">
      <w:start w:val="1"/>
      <w:numFmt w:val="lowerLetter"/>
      <w:lvlText w:val="%2)"/>
      <w:lvlJc w:val="left"/>
      <w:pPr>
        <w:tabs>
          <w:tab w:val="num" w:pos="840"/>
        </w:tabs>
        <w:ind w:left="840" w:hanging="420"/>
      </w:pPr>
      <w:rPr>
        <w:rFonts w:cs="Times New Roman"/>
      </w:rPr>
    </w:lvl>
    <w:lvl w:ilvl="2" w:tplc="04090005" w:tentative="1">
      <w:start w:val="1"/>
      <w:numFmt w:val="lowerRoman"/>
      <w:lvlText w:val="%3."/>
      <w:lvlJc w:val="right"/>
      <w:pPr>
        <w:tabs>
          <w:tab w:val="num" w:pos="1260"/>
        </w:tabs>
        <w:ind w:left="1260" w:hanging="420"/>
      </w:pPr>
      <w:rPr>
        <w:rFonts w:cs="Times New Roman"/>
      </w:rPr>
    </w:lvl>
    <w:lvl w:ilvl="3" w:tplc="04090001" w:tentative="1">
      <w:start w:val="1"/>
      <w:numFmt w:val="decimal"/>
      <w:lvlText w:val="%4."/>
      <w:lvlJc w:val="left"/>
      <w:pPr>
        <w:tabs>
          <w:tab w:val="num" w:pos="1680"/>
        </w:tabs>
        <w:ind w:left="1680" w:hanging="420"/>
      </w:pPr>
      <w:rPr>
        <w:rFonts w:cs="Times New Roman"/>
      </w:rPr>
    </w:lvl>
    <w:lvl w:ilvl="4" w:tplc="04090003" w:tentative="1">
      <w:start w:val="1"/>
      <w:numFmt w:val="lowerLetter"/>
      <w:lvlText w:val="%5)"/>
      <w:lvlJc w:val="left"/>
      <w:pPr>
        <w:tabs>
          <w:tab w:val="num" w:pos="2100"/>
        </w:tabs>
        <w:ind w:left="2100" w:hanging="420"/>
      </w:pPr>
      <w:rPr>
        <w:rFonts w:cs="Times New Roman"/>
      </w:rPr>
    </w:lvl>
    <w:lvl w:ilvl="5" w:tplc="04090005" w:tentative="1">
      <w:start w:val="1"/>
      <w:numFmt w:val="lowerRoman"/>
      <w:lvlText w:val="%6."/>
      <w:lvlJc w:val="right"/>
      <w:pPr>
        <w:tabs>
          <w:tab w:val="num" w:pos="2520"/>
        </w:tabs>
        <w:ind w:left="2520" w:hanging="420"/>
      </w:pPr>
      <w:rPr>
        <w:rFonts w:cs="Times New Roman"/>
      </w:rPr>
    </w:lvl>
    <w:lvl w:ilvl="6" w:tplc="04090001" w:tentative="1">
      <w:start w:val="1"/>
      <w:numFmt w:val="decimal"/>
      <w:lvlText w:val="%7."/>
      <w:lvlJc w:val="left"/>
      <w:pPr>
        <w:tabs>
          <w:tab w:val="num" w:pos="2940"/>
        </w:tabs>
        <w:ind w:left="2940" w:hanging="420"/>
      </w:pPr>
      <w:rPr>
        <w:rFonts w:cs="Times New Roman"/>
      </w:rPr>
    </w:lvl>
    <w:lvl w:ilvl="7" w:tplc="04090003" w:tentative="1">
      <w:start w:val="1"/>
      <w:numFmt w:val="lowerLetter"/>
      <w:lvlText w:val="%8)"/>
      <w:lvlJc w:val="left"/>
      <w:pPr>
        <w:tabs>
          <w:tab w:val="num" w:pos="3360"/>
        </w:tabs>
        <w:ind w:left="3360" w:hanging="420"/>
      </w:pPr>
      <w:rPr>
        <w:rFonts w:cs="Times New Roman"/>
      </w:rPr>
    </w:lvl>
    <w:lvl w:ilvl="8" w:tplc="04090005" w:tentative="1">
      <w:start w:val="1"/>
      <w:numFmt w:val="lowerRoman"/>
      <w:lvlText w:val="%9."/>
      <w:lvlJc w:val="right"/>
      <w:pPr>
        <w:tabs>
          <w:tab w:val="num" w:pos="3780"/>
        </w:tabs>
        <w:ind w:left="3780" w:hanging="420"/>
      </w:pPr>
      <w:rPr>
        <w:rFonts w:cs="Times New Roman"/>
      </w:rPr>
    </w:lvl>
  </w:abstractNum>
  <w:abstractNum w:abstractNumId="24" w15:restartNumberingAfterBreak="0">
    <w:nsid w:val="61844DB8"/>
    <w:multiLevelType w:val="hybridMultilevel"/>
    <w:tmpl w:val="7918ECA4"/>
    <w:lvl w:ilvl="0" w:tplc="C338F418">
      <w:start w:val="1"/>
      <w:numFmt w:val="decimal"/>
      <w:lvlText w:val="%1、"/>
      <w:lvlJc w:val="left"/>
      <w:pPr>
        <w:tabs>
          <w:tab w:val="num" w:pos="0"/>
        </w:tabs>
        <w:ind w:firstLine="567"/>
      </w:pPr>
      <w:rPr>
        <w:rFonts w:eastAsia="宋体" w:cs="Times New Roman" w:hint="eastAsia"/>
        <w:b w:val="0"/>
        <w:i w:val="0"/>
        <w:sz w:val="24"/>
        <w:szCs w:val="24"/>
      </w:rPr>
    </w:lvl>
    <w:lvl w:ilvl="1" w:tplc="04090019" w:tentative="1">
      <w:start w:val="1"/>
      <w:numFmt w:val="lowerLetter"/>
      <w:lvlText w:val="%2)"/>
      <w:lvlJc w:val="left"/>
      <w:pPr>
        <w:tabs>
          <w:tab w:val="num" w:pos="840"/>
        </w:tabs>
        <w:ind w:left="840" w:hanging="420"/>
      </w:pPr>
      <w:rPr>
        <w:rFonts w:cs="Times New Roman"/>
      </w:rPr>
    </w:lvl>
    <w:lvl w:ilvl="2" w:tplc="0409001B" w:tentative="1">
      <w:start w:val="1"/>
      <w:numFmt w:val="lowerRoman"/>
      <w:lvlText w:val="%3."/>
      <w:lvlJc w:val="right"/>
      <w:pPr>
        <w:tabs>
          <w:tab w:val="num" w:pos="1260"/>
        </w:tabs>
        <w:ind w:left="1260" w:hanging="420"/>
      </w:pPr>
      <w:rPr>
        <w:rFonts w:cs="Times New Roman"/>
      </w:rPr>
    </w:lvl>
    <w:lvl w:ilvl="3" w:tplc="0409000F" w:tentative="1">
      <w:start w:val="1"/>
      <w:numFmt w:val="decimal"/>
      <w:lvlText w:val="%4."/>
      <w:lvlJc w:val="left"/>
      <w:pPr>
        <w:tabs>
          <w:tab w:val="num" w:pos="1680"/>
        </w:tabs>
        <w:ind w:left="1680" w:hanging="420"/>
      </w:pPr>
      <w:rPr>
        <w:rFonts w:cs="Times New Roman"/>
      </w:rPr>
    </w:lvl>
    <w:lvl w:ilvl="4" w:tplc="04090019" w:tentative="1">
      <w:start w:val="1"/>
      <w:numFmt w:val="lowerLetter"/>
      <w:lvlText w:val="%5)"/>
      <w:lvlJc w:val="left"/>
      <w:pPr>
        <w:tabs>
          <w:tab w:val="num" w:pos="2100"/>
        </w:tabs>
        <w:ind w:left="2100" w:hanging="420"/>
      </w:pPr>
      <w:rPr>
        <w:rFonts w:cs="Times New Roman"/>
      </w:rPr>
    </w:lvl>
    <w:lvl w:ilvl="5" w:tplc="0409001B" w:tentative="1">
      <w:start w:val="1"/>
      <w:numFmt w:val="lowerRoman"/>
      <w:lvlText w:val="%6."/>
      <w:lvlJc w:val="right"/>
      <w:pPr>
        <w:tabs>
          <w:tab w:val="num" w:pos="2520"/>
        </w:tabs>
        <w:ind w:left="2520" w:hanging="420"/>
      </w:pPr>
      <w:rPr>
        <w:rFonts w:cs="Times New Roman"/>
      </w:rPr>
    </w:lvl>
    <w:lvl w:ilvl="6" w:tplc="0409000F" w:tentative="1">
      <w:start w:val="1"/>
      <w:numFmt w:val="decimal"/>
      <w:lvlText w:val="%7."/>
      <w:lvlJc w:val="left"/>
      <w:pPr>
        <w:tabs>
          <w:tab w:val="num" w:pos="2940"/>
        </w:tabs>
        <w:ind w:left="2940" w:hanging="420"/>
      </w:pPr>
      <w:rPr>
        <w:rFonts w:cs="Times New Roman"/>
      </w:rPr>
    </w:lvl>
    <w:lvl w:ilvl="7" w:tplc="04090019" w:tentative="1">
      <w:start w:val="1"/>
      <w:numFmt w:val="lowerLetter"/>
      <w:lvlText w:val="%8)"/>
      <w:lvlJc w:val="left"/>
      <w:pPr>
        <w:tabs>
          <w:tab w:val="num" w:pos="3360"/>
        </w:tabs>
        <w:ind w:left="3360" w:hanging="420"/>
      </w:pPr>
      <w:rPr>
        <w:rFonts w:cs="Times New Roman"/>
      </w:rPr>
    </w:lvl>
    <w:lvl w:ilvl="8" w:tplc="0409001B" w:tentative="1">
      <w:start w:val="1"/>
      <w:numFmt w:val="lowerRoman"/>
      <w:lvlText w:val="%9."/>
      <w:lvlJc w:val="right"/>
      <w:pPr>
        <w:tabs>
          <w:tab w:val="num" w:pos="3780"/>
        </w:tabs>
        <w:ind w:left="3780" w:hanging="420"/>
      </w:pPr>
      <w:rPr>
        <w:rFonts w:cs="Times New Roman"/>
      </w:rPr>
    </w:lvl>
  </w:abstractNum>
  <w:abstractNum w:abstractNumId="25" w15:restartNumberingAfterBreak="0">
    <w:nsid w:val="62ED72F4"/>
    <w:multiLevelType w:val="hybridMultilevel"/>
    <w:tmpl w:val="158889DC"/>
    <w:lvl w:ilvl="0" w:tplc="F962BE24">
      <w:start w:val="1"/>
      <w:numFmt w:val="decimal"/>
      <w:lvlText w:val="%1、"/>
      <w:lvlJc w:val="left"/>
      <w:pPr>
        <w:tabs>
          <w:tab w:val="num" w:pos="426"/>
        </w:tabs>
        <w:ind w:firstLine="567"/>
      </w:pPr>
      <w:rPr>
        <w:rFonts w:eastAsia="宋体" w:cs="Times New Roman" w:hint="eastAsia"/>
        <w:b w:val="0"/>
        <w:i w:val="0"/>
        <w:sz w:val="24"/>
        <w:szCs w:val="24"/>
      </w:rPr>
    </w:lvl>
    <w:lvl w:ilvl="1" w:tplc="04090019" w:tentative="1">
      <w:start w:val="1"/>
      <w:numFmt w:val="lowerLetter"/>
      <w:lvlText w:val="%2)"/>
      <w:lvlJc w:val="left"/>
      <w:pPr>
        <w:tabs>
          <w:tab w:val="num" w:pos="840"/>
        </w:tabs>
        <w:ind w:left="840" w:hanging="420"/>
      </w:pPr>
      <w:rPr>
        <w:rFonts w:cs="Times New Roman"/>
      </w:rPr>
    </w:lvl>
    <w:lvl w:ilvl="2" w:tplc="0409001B" w:tentative="1">
      <w:start w:val="1"/>
      <w:numFmt w:val="lowerRoman"/>
      <w:lvlText w:val="%3."/>
      <w:lvlJc w:val="right"/>
      <w:pPr>
        <w:tabs>
          <w:tab w:val="num" w:pos="1260"/>
        </w:tabs>
        <w:ind w:left="1260" w:hanging="420"/>
      </w:pPr>
      <w:rPr>
        <w:rFonts w:cs="Times New Roman"/>
      </w:rPr>
    </w:lvl>
    <w:lvl w:ilvl="3" w:tplc="0409000F" w:tentative="1">
      <w:start w:val="1"/>
      <w:numFmt w:val="decimal"/>
      <w:lvlText w:val="%4."/>
      <w:lvlJc w:val="left"/>
      <w:pPr>
        <w:tabs>
          <w:tab w:val="num" w:pos="1680"/>
        </w:tabs>
        <w:ind w:left="1680" w:hanging="420"/>
      </w:pPr>
      <w:rPr>
        <w:rFonts w:cs="Times New Roman"/>
      </w:rPr>
    </w:lvl>
    <w:lvl w:ilvl="4" w:tplc="04090019" w:tentative="1">
      <w:start w:val="1"/>
      <w:numFmt w:val="lowerLetter"/>
      <w:lvlText w:val="%5)"/>
      <w:lvlJc w:val="left"/>
      <w:pPr>
        <w:tabs>
          <w:tab w:val="num" w:pos="2100"/>
        </w:tabs>
        <w:ind w:left="2100" w:hanging="420"/>
      </w:pPr>
      <w:rPr>
        <w:rFonts w:cs="Times New Roman"/>
      </w:rPr>
    </w:lvl>
    <w:lvl w:ilvl="5" w:tplc="0409001B" w:tentative="1">
      <w:start w:val="1"/>
      <w:numFmt w:val="lowerRoman"/>
      <w:lvlText w:val="%6."/>
      <w:lvlJc w:val="right"/>
      <w:pPr>
        <w:tabs>
          <w:tab w:val="num" w:pos="2520"/>
        </w:tabs>
        <w:ind w:left="2520" w:hanging="420"/>
      </w:pPr>
      <w:rPr>
        <w:rFonts w:cs="Times New Roman"/>
      </w:rPr>
    </w:lvl>
    <w:lvl w:ilvl="6" w:tplc="0409000F" w:tentative="1">
      <w:start w:val="1"/>
      <w:numFmt w:val="decimal"/>
      <w:lvlText w:val="%7."/>
      <w:lvlJc w:val="left"/>
      <w:pPr>
        <w:tabs>
          <w:tab w:val="num" w:pos="2940"/>
        </w:tabs>
        <w:ind w:left="2940" w:hanging="420"/>
      </w:pPr>
      <w:rPr>
        <w:rFonts w:cs="Times New Roman"/>
      </w:rPr>
    </w:lvl>
    <w:lvl w:ilvl="7" w:tplc="04090019" w:tentative="1">
      <w:start w:val="1"/>
      <w:numFmt w:val="lowerLetter"/>
      <w:lvlText w:val="%8)"/>
      <w:lvlJc w:val="left"/>
      <w:pPr>
        <w:tabs>
          <w:tab w:val="num" w:pos="3360"/>
        </w:tabs>
        <w:ind w:left="3360" w:hanging="420"/>
      </w:pPr>
      <w:rPr>
        <w:rFonts w:cs="Times New Roman"/>
      </w:rPr>
    </w:lvl>
    <w:lvl w:ilvl="8" w:tplc="0409001B" w:tentative="1">
      <w:start w:val="1"/>
      <w:numFmt w:val="lowerRoman"/>
      <w:lvlText w:val="%9."/>
      <w:lvlJc w:val="right"/>
      <w:pPr>
        <w:tabs>
          <w:tab w:val="num" w:pos="3780"/>
        </w:tabs>
        <w:ind w:left="3780" w:hanging="420"/>
      </w:pPr>
      <w:rPr>
        <w:rFonts w:cs="Times New Roman"/>
      </w:rPr>
    </w:lvl>
  </w:abstractNum>
  <w:abstractNum w:abstractNumId="26" w15:restartNumberingAfterBreak="0">
    <w:nsid w:val="63DF4059"/>
    <w:multiLevelType w:val="hybridMultilevel"/>
    <w:tmpl w:val="A1B2DAB8"/>
    <w:lvl w:ilvl="0" w:tplc="EA208D44">
      <w:start w:val="1"/>
      <w:numFmt w:val="chineseCountingThousand"/>
      <w:lvlText w:val="（%1）"/>
      <w:lvlJc w:val="left"/>
      <w:pPr>
        <w:tabs>
          <w:tab w:val="num" w:pos="0"/>
        </w:tabs>
        <w:ind w:left="0" w:firstLine="567"/>
      </w:pPr>
      <w:rPr>
        <w:rFonts w:hint="eastAsia"/>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27" w15:restartNumberingAfterBreak="0">
    <w:nsid w:val="64F26A5B"/>
    <w:multiLevelType w:val="hybridMultilevel"/>
    <w:tmpl w:val="EA84550E"/>
    <w:lvl w:ilvl="0" w:tplc="0AD84ED8">
      <w:start w:val="1"/>
      <w:numFmt w:val="decimal"/>
      <w:lvlText w:val="%1、"/>
      <w:lvlJc w:val="left"/>
      <w:pPr>
        <w:tabs>
          <w:tab w:val="num" w:pos="569"/>
        </w:tabs>
        <w:ind w:left="2" w:firstLine="567"/>
      </w:pPr>
      <w:rPr>
        <w:rFonts w:eastAsia="宋体" w:cs="Times New Roman" w:hint="eastAsia"/>
        <w:b w:val="0"/>
        <w:i w:val="0"/>
        <w:sz w:val="24"/>
        <w:szCs w:val="24"/>
      </w:rPr>
    </w:lvl>
    <w:lvl w:ilvl="1" w:tplc="04090019" w:tentative="1">
      <w:start w:val="1"/>
      <w:numFmt w:val="lowerLetter"/>
      <w:lvlText w:val="%2)"/>
      <w:lvlJc w:val="left"/>
      <w:pPr>
        <w:tabs>
          <w:tab w:val="num" w:pos="842"/>
        </w:tabs>
        <w:ind w:left="842" w:hanging="420"/>
      </w:pPr>
      <w:rPr>
        <w:rFonts w:cs="Times New Roman"/>
      </w:rPr>
    </w:lvl>
    <w:lvl w:ilvl="2" w:tplc="0409001B" w:tentative="1">
      <w:start w:val="1"/>
      <w:numFmt w:val="lowerRoman"/>
      <w:lvlText w:val="%3."/>
      <w:lvlJc w:val="right"/>
      <w:pPr>
        <w:tabs>
          <w:tab w:val="num" w:pos="1262"/>
        </w:tabs>
        <w:ind w:left="1262" w:hanging="420"/>
      </w:pPr>
      <w:rPr>
        <w:rFonts w:cs="Times New Roman"/>
      </w:rPr>
    </w:lvl>
    <w:lvl w:ilvl="3" w:tplc="0409000F" w:tentative="1">
      <w:start w:val="1"/>
      <w:numFmt w:val="decimal"/>
      <w:lvlText w:val="%4."/>
      <w:lvlJc w:val="left"/>
      <w:pPr>
        <w:tabs>
          <w:tab w:val="num" w:pos="1682"/>
        </w:tabs>
        <w:ind w:left="1682" w:hanging="420"/>
      </w:pPr>
      <w:rPr>
        <w:rFonts w:cs="Times New Roman"/>
      </w:rPr>
    </w:lvl>
    <w:lvl w:ilvl="4" w:tplc="04090019" w:tentative="1">
      <w:start w:val="1"/>
      <w:numFmt w:val="lowerLetter"/>
      <w:lvlText w:val="%5)"/>
      <w:lvlJc w:val="left"/>
      <w:pPr>
        <w:tabs>
          <w:tab w:val="num" w:pos="2102"/>
        </w:tabs>
        <w:ind w:left="2102" w:hanging="420"/>
      </w:pPr>
      <w:rPr>
        <w:rFonts w:cs="Times New Roman"/>
      </w:rPr>
    </w:lvl>
    <w:lvl w:ilvl="5" w:tplc="0409001B" w:tentative="1">
      <w:start w:val="1"/>
      <w:numFmt w:val="lowerRoman"/>
      <w:lvlText w:val="%6."/>
      <w:lvlJc w:val="right"/>
      <w:pPr>
        <w:tabs>
          <w:tab w:val="num" w:pos="2522"/>
        </w:tabs>
        <w:ind w:left="2522" w:hanging="420"/>
      </w:pPr>
      <w:rPr>
        <w:rFonts w:cs="Times New Roman"/>
      </w:rPr>
    </w:lvl>
    <w:lvl w:ilvl="6" w:tplc="0409000F" w:tentative="1">
      <w:start w:val="1"/>
      <w:numFmt w:val="decimal"/>
      <w:lvlText w:val="%7."/>
      <w:lvlJc w:val="left"/>
      <w:pPr>
        <w:tabs>
          <w:tab w:val="num" w:pos="2942"/>
        </w:tabs>
        <w:ind w:left="2942" w:hanging="420"/>
      </w:pPr>
      <w:rPr>
        <w:rFonts w:cs="Times New Roman"/>
      </w:rPr>
    </w:lvl>
    <w:lvl w:ilvl="7" w:tplc="04090019" w:tentative="1">
      <w:start w:val="1"/>
      <w:numFmt w:val="lowerLetter"/>
      <w:lvlText w:val="%8)"/>
      <w:lvlJc w:val="left"/>
      <w:pPr>
        <w:tabs>
          <w:tab w:val="num" w:pos="3362"/>
        </w:tabs>
        <w:ind w:left="3362" w:hanging="420"/>
      </w:pPr>
      <w:rPr>
        <w:rFonts w:cs="Times New Roman"/>
      </w:rPr>
    </w:lvl>
    <w:lvl w:ilvl="8" w:tplc="0409001B" w:tentative="1">
      <w:start w:val="1"/>
      <w:numFmt w:val="lowerRoman"/>
      <w:lvlText w:val="%9."/>
      <w:lvlJc w:val="right"/>
      <w:pPr>
        <w:tabs>
          <w:tab w:val="num" w:pos="3782"/>
        </w:tabs>
        <w:ind w:left="3782" w:hanging="420"/>
      </w:pPr>
      <w:rPr>
        <w:rFonts w:cs="Times New Roman"/>
      </w:rPr>
    </w:lvl>
  </w:abstractNum>
  <w:abstractNum w:abstractNumId="28" w15:restartNumberingAfterBreak="0">
    <w:nsid w:val="684E36BA"/>
    <w:multiLevelType w:val="hybridMultilevel"/>
    <w:tmpl w:val="E716DC58"/>
    <w:lvl w:ilvl="0" w:tplc="FFFFFFFF">
      <w:start w:val="1"/>
      <w:numFmt w:val="japaneseCounting"/>
      <w:lvlText w:val="第%1章"/>
      <w:lvlJc w:val="left"/>
      <w:pPr>
        <w:tabs>
          <w:tab w:val="num" w:pos="0"/>
        </w:tabs>
      </w:pPr>
      <w:rPr>
        <w:rFonts w:ascii="宋体" w:eastAsia="宋体" w:hAnsi="宋体" w:cs="Times New Roman"/>
        <w:b/>
        <w:i w:val="0"/>
        <w:sz w:val="24"/>
        <w:szCs w:val="24"/>
      </w:rPr>
    </w:lvl>
    <w:lvl w:ilvl="1" w:tplc="8E945DAC">
      <w:start w:val="1"/>
      <w:numFmt w:val="chineseCountingThousand"/>
      <w:lvlText w:val="(%2)"/>
      <w:lvlJc w:val="left"/>
      <w:pPr>
        <w:tabs>
          <w:tab w:val="num" w:pos="0"/>
        </w:tabs>
        <w:ind w:left="0" w:firstLine="567"/>
      </w:pPr>
      <w:rPr>
        <w:rFonts w:hint="eastAsia"/>
        <w:b/>
        <w:i w:val="0"/>
        <w:sz w:val="24"/>
        <w:szCs w:val="24"/>
        <w:lang w:val="en-US"/>
      </w:rPr>
    </w:lvl>
    <w:lvl w:ilvl="2" w:tplc="FFFFFFFF">
      <w:start w:val="1"/>
      <w:numFmt w:val="lowerRoman"/>
      <w:lvlText w:val="%3."/>
      <w:lvlJc w:val="right"/>
      <w:pPr>
        <w:tabs>
          <w:tab w:val="num" w:pos="1260"/>
        </w:tabs>
        <w:ind w:left="1260" w:hanging="420"/>
      </w:pPr>
      <w:rPr>
        <w:rFonts w:cs="Times New Roman"/>
      </w:rPr>
    </w:lvl>
    <w:lvl w:ilvl="3" w:tplc="FFFFFFFF">
      <w:start w:val="1"/>
      <w:numFmt w:val="decimal"/>
      <w:lvlText w:val="%4."/>
      <w:lvlJc w:val="left"/>
      <w:pPr>
        <w:tabs>
          <w:tab w:val="num" w:pos="1680"/>
        </w:tabs>
        <w:ind w:left="1680" w:hanging="420"/>
      </w:pPr>
      <w:rPr>
        <w:rFonts w:cs="Times New Roman"/>
      </w:rPr>
    </w:lvl>
    <w:lvl w:ilvl="4" w:tplc="FFFFFFFF" w:tentative="1">
      <w:start w:val="1"/>
      <w:numFmt w:val="lowerLetter"/>
      <w:lvlText w:val="%5)"/>
      <w:lvlJc w:val="left"/>
      <w:pPr>
        <w:tabs>
          <w:tab w:val="num" w:pos="2100"/>
        </w:tabs>
        <w:ind w:left="2100" w:hanging="420"/>
      </w:pPr>
      <w:rPr>
        <w:rFonts w:cs="Times New Roman"/>
      </w:rPr>
    </w:lvl>
    <w:lvl w:ilvl="5" w:tplc="FFFFFFFF" w:tentative="1">
      <w:start w:val="1"/>
      <w:numFmt w:val="lowerRoman"/>
      <w:lvlText w:val="%6."/>
      <w:lvlJc w:val="right"/>
      <w:pPr>
        <w:tabs>
          <w:tab w:val="num" w:pos="2520"/>
        </w:tabs>
        <w:ind w:left="2520" w:hanging="420"/>
      </w:pPr>
      <w:rPr>
        <w:rFonts w:cs="Times New Roman"/>
      </w:rPr>
    </w:lvl>
    <w:lvl w:ilvl="6" w:tplc="FFFFFFFF" w:tentative="1">
      <w:start w:val="1"/>
      <w:numFmt w:val="decimal"/>
      <w:lvlText w:val="%7."/>
      <w:lvlJc w:val="left"/>
      <w:pPr>
        <w:tabs>
          <w:tab w:val="num" w:pos="2940"/>
        </w:tabs>
        <w:ind w:left="2940" w:hanging="420"/>
      </w:pPr>
      <w:rPr>
        <w:rFonts w:cs="Times New Roman"/>
      </w:rPr>
    </w:lvl>
    <w:lvl w:ilvl="7" w:tplc="FFFFFFFF" w:tentative="1">
      <w:start w:val="1"/>
      <w:numFmt w:val="lowerLetter"/>
      <w:lvlText w:val="%8)"/>
      <w:lvlJc w:val="left"/>
      <w:pPr>
        <w:tabs>
          <w:tab w:val="num" w:pos="3360"/>
        </w:tabs>
        <w:ind w:left="3360" w:hanging="420"/>
      </w:pPr>
      <w:rPr>
        <w:rFonts w:cs="Times New Roman"/>
      </w:rPr>
    </w:lvl>
    <w:lvl w:ilvl="8" w:tplc="FFFFFFFF" w:tentative="1">
      <w:start w:val="1"/>
      <w:numFmt w:val="lowerRoman"/>
      <w:lvlText w:val="%9."/>
      <w:lvlJc w:val="right"/>
      <w:pPr>
        <w:tabs>
          <w:tab w:val="num" w:pos="3780"/>
        </w:tabs>
        <w:ind w:left="3780" w:hanging="420"/>
      </w:pPr>
      <w:rPr>
        <w:rFonts w:cs="Times New Roman"/>
      </w:rPr>
    </w:lvl>
  </w:abstractNum>
  <w:abstractNum w:abstractNumId="29" w15:restartNumberingAfterBreak="0">
    <w:nsid w:val="6A190F0F"/>
    <w:multiLevelType w:val="hybridMultilevel"/>
    <w:tmpl w:val="0AF4B3FA"/>
    <w:lvl w:ilvl="0" w:tplc="E062D13C">
      <w:start w:val="1"/>
      <w:numFmt w:val="chineseCountingThousand"/>
      <w:lvlText w:val="第%1条"/>
      <w:lvlJc w:val="left"/>
      <w:pPr>
        <w:tabs>
          <w:tab w:val="num" w:pos="1815"/>
        </w:tabs>
        <w:ind w:left="1815" w:hanging="1455"/>
      </w:pPr>
      <w:rPr>
        <w:rFonts w:hint="default"/>
        <w:b/>
        <w:lang w:val="en-US"/>
      </w:rPr>
    </w:lvl>
    <w:lvl w:ilvl="1" w:tplc="93BCF9D4">
      <w:start w:val="1"/>
      <w:numFmt w:val="decimal"/>
      <w:lvlText w:val="%2."/>
      <w:lvlJc w:val="left"/>
      <w:pPr>
        <w:tabs>
          <w:tab w:val="num" w:pos="987"/>
        </w:tabs>
        <w:ind w:left="987" w:hanging="567"/>
      </w:pPr>
      <w:rPr>
        <w:rFonts w:hint="eastAsia"/>
        <w:b/>
      </w:rPr>
    </w:lvl>
    <w:lvl w:ilvl="2" w:tplc="744E4408">
      <w:start w:val="1"/>
      <w:numFmt w:val="japaneseCounting"/>
      <w:lvlText w:val="(%3)"/>
      <w:lvlJc w:val="left"/>
      <w:pPr>
        <w:tabs>
          <w:tab w:val="num" w:pos="2148"/>
        </w:tabs>
        <w:ind w:left="2148" w:hanging="1155"/>
      </w:pPr>
      <w:rPr>
        <w:rFonts w:hint="eastAsia"/>
        <w:b w:val="0"/>
        <w:i w:val="0"/>
        <w:lang w:val="en-US"/>
      </w:rPr>
    </w:lvl>
    <w:lvl w:ilvl="3" w:tplc="04090009">
      <w:start w:val="1"/>
      <w:numFmt w:val="bullet"/>
      <w:lvlText w:val=""/>
      <w:lvlJc w:val="left"/>
      <w:pPr>
        <w:tabs>
          <w:tab w:val="num" w:pos="1680"/>
        </w:tabs>
        <w:ind w:left="1680" w:hanging="420"/>
      </w:pPr>
      <w:rPr>
        <w:rFonts w:ascii="Wingdings" w:hAnsi="Wingdings" w:hint="default"/>
        <w:b/>
        <w:lang w:val="en-US"/>
      </w:r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30" w15:restartNumberingAfterBreak="0">
    <w:nsid w:val="6DCC7D35"/>
    <w:multiLevelType w:val="hybridMultilevel"/>
    <w:tmpl w:val="426CA546"/>
    <w:lvl w:ilvl="0" w:tplc="551A387A">
      <w:start w:val="1"/>
      <w:numFmt w:val="decimal"/>
      <w:lvlText w:val="%1、"/>
      <w:lvlJc w:val="left"/>
      <w:pPr>
        <w:tabs>
          <w:tab w:val="num" w:pos="454"/>
        </w:tabs>
        <w:ind w:firstLine="454"/>
      </w:pPr>
      <w:rPr>
        <w:rFonts w:cs="Times New Roman"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1" w15:restartNumberingAfterBreak="0">
    <w:nsid w:val="718246B1"/>
    <w:multiLevelType w:val="hybridMultilevel"/>
    <w:tmpl w:val="8E142E78"/>
    <w:lvl w:ilvl="0" w:tplc="2C2CED06">
      <w:start w:val="1"/>
      <w:numFmt w:val="decimal"/>
      <w:lvlText w:val="%1、"/>
      <w:lvlJc w:val="left"/>
      <w:pPr>
        <w:tabs>
          <w:tab w:val="num" w:pos="426"/>
        </w:tabs>
        <w:ind w:firstLine="567"/>
      </w:pPr>
      <w:rPr>
        <w:rFonts w:eastAsia="宋体" w:cs="Times New Roman" w:hint="eastAsia"/>
        <w:b w:val="0"/>
        <w:i w:val="0"/>
        <w:sz w:val="24"/>
        <w:szCs w:val="24"/>
      </w:rPr>
    </w:lvl>
    <w:lvl w:ilvl="1" w:tplc="04090019">
      <w:start w:val="1"/>
      <w:numFmt w:val="lowerLetter"/>
      <w:lvlText w:val="%2)"/>
      <w:lvlJc w:val="left"/>
      <w:pPr>
        <w:tabs>
          <w:tab w:val="num" w:pos="840"/>
        </w:tabs>
        <w:ind w:left="840" w:hanging="420"/>
      </w:pPr>
      <w:rPr>
        <w:rFonts w:cs="Times New Roman"/>
      </w:rPr>
    </w:lvl>
    <w:lvl w:ilvl="2" w:tplc="0409001B">
      <w:start w:val="1"/>
      <w:numFmt w:val="lowerRoman"/>
      <w:lvlText w:val="%3."/>
      <w:lvlJc w:val="right"/>
      <w:pPr>
        <w:tabs>
          <w:tab w:val="num" w:pos="1260"/>
        </w:tabs>
        <w:ind w:left="1260" w:hanging="420"/>
      </w:pPr>
      <w:rPr>
        <w:rFonts w:cs="Times New Roman"/>
      </w:rPr>
    </w:lvl>
    <w:lvl w:ilvl="3" w:tplc="0409000F" w:tentative="1">
      <w:start w:val="1"/>
      <w:numFmt w:val="decimal"/>
      <w:lvlText w:val="%4."/>
      <w:lvlJc w:val="left"/>
      <w:pPr>
        <w:tabs>
          <w:tab w:val="num" w:pos="1680"/>
        </w:tabs>
        <w:ind w:left="1680" w:hanging="420"/>
      </w:pPr>
      <w:rPr>
        <w:rFonts w:cs="Times New Roman"/>
      </w:rPr>
    </w:lvl>
    <w:lvl w:ilvl="4" w:tplc="04090019" w:tentative="1">
      <w:start w:val="1"/>
      <w:numFmt w:val="lowerLetter"/>
      <w:lvlText w:val="%5)"/>
      <w:lvlJc w:val="left"/>
      <w:pPr>
        <w:tabs>
          <w:tab w:val="num" w:pos="2100"/>
        </w:tabs>
        <w:ind w:left="2100" w:hanging="420"/>
      </w:pPr>
      <w:rPr>
        <w:rFonts w:cs="Times New Roman"/>
      </w:rPr>
    </w:lvl>
    <w:lvl w:ilvl="5" w:tplc="0409001B" w:tentative="1">
      <w:start w:val="1"/>
      <w:numFmt w:val="lowerRoman"/>
      <w:lvlText w:val="%6."/>
      <w:lvlJc w:val="right"/>
      <w:pPr>
        <w:tabs>
          <w:tab w:val="num" w:pos="2520"/>
        </w:tabs>
        <w:ind w:left="2520" w:hanging="420"/>
      </w:pPr>
      <w:rPr>
        <w:rFonts w:cs="Times New Roman"/>
      </w:rPr>
    </w:lvl>
    <w:lvl w:ilvl="6" w:tplc="0409000F" w:tentative="1">
      <w:start w:val="1"/>
      <w:numFmt w:val="decimal"/>
      <w:lvlText w:val="%7."/>
      <w:lvlJc w:val="left"/>
      <w:pPr>
        <w:tabs>
          <w:tab w:val="num" w:pos="2940"/>
        </w:tabs>
        <w:ind w:left="2940" w:hanging="420"/>
      </w:pPr>
      <w:rPr>
        <w:rFonts w:cs="Times New Roman"/>
      </w:rPr>
    </w:lvl>
    <w:lvl w:ilvl="7" w:tplc="04090019" w:tentative="1">
      <w:start w:val="1"/>
      <w:numFmt w:val="lowerLetter"/>
      <w:lvlText w:val="%8)"/>
      <w:lvlJc w:val="left"/>
      <w:pPr>
        <w:tabs>
          <w:tab w:val="num" w:pos="3360"/>
        </w:tabs>
        <w:ind w:left="3360" w:hanging="420"/>
      </w:pPr>
      <w:rPr>
        <w:rFonts w:cs="Times New Roman"/>
      </w:rPr>
    </w:lvl>
    <w:lvl w:ilvl="8" w:tplc="0409001B" w:tentative="1">
      <w:start w:val="1"/>
      <w:numFmt w:val="lowerRoman"/>
      <w:lvlText w:val="%9."/>
      <w:lvlJc w:val="right"/>
      <w:pPr>
        <w:tabs>
          <w:tab w:val="num" w:pos="3780"/>
        </w:tabs>
        <w:ind w:left="3780" w:hanging="420"/>
      </w:pPr>
      <w:rPr>
        <w:rFonts w:cs="Times New Roman"/>
      </w:rPr>
    </w:lvl>
  </w:abstractNum>
  <w:abstractNum w:abstractNumId="32" w15:restartNumberingAfterBreak="0">
    <w:nsid w:val="71B91DE4"/>
    <w:multiLevelType w:val="hybridMultilevel"/>
    <w:tmpl w:val="A746AB92"/>
    <w:lvl w:ilvl="0" w:tplc="AEB6F4C0">
      <w:start w:val="5"/>
      <w:numFmt w:val="decimal"/>
      <w:lvlText w:val="%1、"/>
      <w:lvlJc w:val="left"/>
      <w:pPr>
        <w:tabs>
          <w:tab w:val="num" w:pos="454"/>
        </w:tabs>
        <w:ind w:firstLine="454"/>
      </w:pPr>
      <w:rPr>
        <w:rFonts w:cs="Times New Roman" w:hint="eastAsia"/>
      </w:rPr>
    </w:lvl>
    <w:lvl w:ilvl="1" w:tplc="0A7C9C1A">
      <w:start w:val="16"/>
      <w:numFmt w:val="chineseCountingThousand"/>
      <w:lvlText w:val="%2、"/>
      <w:lvlJc w:val="left"/>
      <w:pPr>
        <w:tabs>
          <w:tab w:val="num" w:pos="510"/>
        </w:tabs>
        <w:ind w:firstLine="454"/>
      </w:pPr>
      <w:rPr>
        <w:rFonts w:cs="Times New Roman" w:hint="default"/>
      </w:rPr>
    </w:lvl>
    <w:lvl w:ilvl="2" w:tplc="551A387A">
      <w:start w:val="1"/>
      <w:numFmt w:val="decimal"/>
      <w:lvlText w:val="%3、"/>
      <w:lvlJc w:val="left"/>
      <w:pPr>
        <w:tabs>
          <w:tab w:val="num" w:pos="454"/>
        </w:tabs>
        <w:ind w:firstLine="454"/>
      </w:pPr>
      <w:rPr>
        <w:rFonts w:cs="Times New Roman" w:hint="eastAsia"/>
      </w:rPr>
    </w:lvl>
    <w:lvl w:ilvl="3" w:tplc="21A2C940" w:tentative="1">
      <w:start w:val="1"/>
      <w:numFmt w:val="decimal"/>
      <w:lvlText w:val="%4."/>
      <w:lvlJc w:val="left"/>
      <w:pPr>
        <w:tabs>
          <w:tab w:val="num" w:pos="1680"/>
        </w:tabs>
        <w:ind w:left="1680" w:hanging="420"/>
      </w:pPr>
      <w:rPr>
        <w:rFonts w:cs="Times New Roman"/>
      </w:rPr>
    </w:lvl>
    <w:lvl w:ilvl="4" w:tplc="04090019" w:tentative="1">
      <w:start w:val="1"/>
      <w:numFmt w:val="lowerLetter"/>
      <w:lvlText w:val="%5)"/>
      <w:lvlJc w:val="left"/>
      <w:pPr>
        <w:tabs>
          <w:tab w:val="num" w:pos="2100"/>
        </w:tabs>
        <w:ind w:left="2100" w:hanging="420"/>
      </w:pPr>
      <w:rPr>
        <w:rFonts w:cs="Times New Roman"/>
      </w:rPr>
    </w:lvl>
    <w:lvl w:ilvl="5" w:tplc="0409001B" w:tentative="1">
      <w:start w:val="1"/>
      <w:numFmt w:val="lowerRoman"/>
      <w:lvlText w:val="%6."/>
      <w:lvlJc w:val="right"/>
      <w:pPr>
        <w:tabs>
          <w:tab w:val="num" w:pos="2520"/>
        </w:tabs>
        <w:ind w:left="2520" w:hanging="420"/>
      </w:pPr>
      <w:rPr>
        <w:rFonts w:cs="Times New Roman"/>
      </w:rPr>
    </w:lvl>
    <w:lvl w:ilvl="6" w:tplc="0409000F" w:tentative="1">
      <w:start w:val="1"/>
      <w:numFmt w:val="decimal"/>
      <w:lvlText w:val="%7."/>
      <w:lvlJc w:val="left"/>
      <w:pPr>
        <w:tabs>
          <w:tab w:val="num" w:pos="2940"/>
        </w:tabs>
        <w:ind w:left="2940" w:hanging="420"/>
      </w:pPr>
      <w:rPr>
        <w:rFonts w:cs="Times New Roman"/>
      </w:rPr>
    </w:lvl>
    <w:lvl w:ilvl="7" w:tplc="04090019" w:tentative="1">
      <w:start w:val="1"/>
      <w:numFmt w:val="lowerLetter"/>
      <w:lvlText w:val="%8)"/>
      <w:lvlJc w:val="left"/>
      <w:pPr>
        <w:tabs>
          <w:tab w:val="num" w:pos="3360"/>
        </w:tabs>
        <w:ind w:left="3360" w:hanging="420"/>
      </w:pPr>
      <w:rPr>
        <w:rFonts w:cs="Times New Roman"/>
      </w:rPr>
    </w:lvl>
    <w:lvl w:ilvl="8" w:tplc="0409001B" w:tentative="1">
      <w:start w:val="1"/>
      <w:numFmt w:val="lowerRoman"/>
      <w:lvlText w:val="%9."/>
      <w:lvlJc w:val="right"/>
      <w:pPr>
        <w:tabs>
          <w:tab w:val="num" w:pos="3780"/>
        </w:tabs>
        <w:ind w:left="3780" w:hanging="420"/>
      </w:pPr>
      <w:rPr>
        <w:rFonts w:cs="Times New Roman"/>
      </w:rPr>
    </w:lvl>
  </w:abstractNum>
  <w:abstractNum w:abstractNumId="33" w15:restartNumberingAfterBreak="0">
    <w:nsid w:val="793F3199"/>
    <w:multiLevelType w:val="hybridMultilevel"/>
    <w:tmpl w:val="74F42776"/>
    <w:lvl w:ilvl="0" w:tplc="FFFFFFFF">
      <w:start w:val="1"/>
      <w:numFmt w:val="japaneseCounting"/>
      <w:lvlText w:val="第%1章"/>
      <w:lvlJc w:val="left"/>
      <w:pPr>
        <w:tabs>
          <w:tab w:val="num" w:pos="0"/>
        </w:tabs>
      </w:pPr>
      <w:rPr>
        <w:rFonts w:ascii="宋体" w:eastAsia="宋体" w:hAnsi="宋体" w:cs="Times New Roman"/>
        <w:b/>
        <w:i w:val="0"/>
        <w:sz w:val="24"/>
        <w:szCs w:val="24"/>
      </w:rPr>
    </w:lvl>
    <w:lvl w:ilvl="1" w:tplc="B94A0560">
      <w:start w:val="1"/>
      <w:numFmt w:val="chineseCountingThousand"/>
      <w:lvlText w:val="（%2）"/>
      <w:lvlJc w:val="left"/>
      <w:pPr>
        <w:tabs>
          <w:tab w:val="num" w:pos="567"/>
        </w:tabs>
        <w:ind w:left="0" w:firstLine="567"/>
      </w:pPr>
      <w:rPr>
        <w:rFonts w:hint="eastAsia"/>
        <w:b/>
        <w:i w:val="0"/>
        <w:sz w:val="24"/>
        <w:szCs w:val="24"/>
        <w:lang w:val="en-US"/>
      </w:rPr>
    </w:lvl>
    <w:lvl w:ilvl="2" w:tplc="FFFFFFFF">
      <w:start w:val="1"/>
      <w:numFmt w:val="lowerRoman"/>
      <w:lvlText w:val="%3."/>
      <w:lvlJc w:val="right"/>
      <w:pPr>
        <w:tabs>
          <w:tab w:val="num" w:pos="1260"/>
        </w:tabs>
        <w:ind w:left="1260" w:hanging="420"/>
      </w:pPr>
      <w:rPr>
        <w:rFonts w:cs="Times New Roman"/>
      </w:rPr>
    </w:lvl>
    <w:lvl w:ilvl="3" w:tplc="FFFFFFFF">
      <w:start w:val="1"/>
      <w:numFmt w:val="decimal"/>
      <w:lvlText w:val="%4."/>
      <w:lvlJc w:val="left"/>
      <w:pPr>
        <w:tabs>
          <w:tab w:val="num" w:pos="1680"/>
        </w:tabs>
        <w:ind w:left="1680" w:hanging="420"/>
      </w:pPr>
      <w:rPr>
        <w:rFonts w:cs="Times New Roman"/>
      </w:rPr>
    </w:lvl>
    <w:lvl w:ilvl="4" w:tplc="FFFFFFFF" w:tentative="1">
      <w:start w:val="1"/>
      <w:numFmt w:val="lowerLetter"/>
      <w:lvlText w:val="%5)"/>
      <w:lvlJc w:val="left"/>
      <w:pPr>
        <w:tabs>
          <w:tab w:val="num" w:pos="2100"/>
        </w:tabs>
        <w:ind w:left="2100" w:hanging="420"/>
      </w:pPr>
      <w:rPr>
        <w:rFonts w:cs="Times New Roman"/>
      </w:rPr>
    </w:lvl>
    <w:lvl w:ilvl="5" w:tplc="FFFFFFFF" w:tentative="1">
      <w:start w:val="1"/>
      <w:numFmt w:val="lowerRoman"/>
      <w:lvlText w:val="%6."/>
      <w:lvlJc w:val="right"/>
      <w:pPr>
        <w:tabs>
          <w:tab w:val="num" w:pos="2520"/>
        </w:tabs>
        <w:ind w:left="2520" w:hanging="420"/>
      </w:pPr>
      <w:rPr>
        <w:rFonts w:cs="Times New Roman"/>
      </w:rPr>
    </w:lvl>
    <w:lvl w:ilvl="6" w:tplc="FFFFFFFF" w:tentative="1">
      <w:start w:val="1"/>
      <w:numFmt w:val="decimal"/>
      <w:lvlText w:val="%7."/>
      <w:lvlJc w:val="left"/>
      <w:pPr>
        <w:tabs>
          <w:tab w:val="num" w:pos="2940"/>
        </w:tabs>
        <w:ind w:left="2940" w:hanging="420"/>
      </w:pPr>
      <w:rPr>
        <w:rFonts w:cs="Times New Roman"/>
      </w:rPr>
    </w:lvl>
    <w:lvl w:ilvl="7" w:tplc="FFFFFFFF" w:tentative="1">
      <w:start w:val="1"/>
      <w:numFmt w:val="lowerLetter"/>
      <w:lvlText w:val="%8)"/>
      <w:lvlJc w:val="left"/>
      <w:pPr>
        <w:tabs>
          <w:tab w:val="num" w:pos="3360"/>
        </w:tabs>
        <w:ind w:left="3360" w:hanging="420"/>
      </w:pPr>
      <w:rPr>
        <w:rFonts w:cs="Times New Roman"/>
      </w:rPr>
    </w:lvl>
    <w:lvl w:ilvl="8" w:tplc="FFFFFFFF" w:tentative="1">
      <w:start w:val="1"/>
      <w:numFmt w:val="lowerRoman"/>
      <w:lvlText w:val="%9."/>
      <w:lvlJc w:val="right"/>
      <w:pPr>
        <w:tabs>
          <w:tab w:val="num" w:pos="3780"/>
        </w:tabs>
        <w:ind w:left="3780" w:hanging="420"/>
      </w:pPr>
      <w:rPr>
        <w:rFonts w:cs="Times New Roman"/>
      </w:rPr>
    </w:lvl>
  </w:abstractNum>
  <w:abstractNum w:abstractNumId="34" w15:restartNumberingAfterBreak="0">
    <w:nsid w:val="79904CEB"/>
    <w:multiLevelType w:val="hybridMultilevel"/>
    <w:tmpl w:val="9ABA47C8"/>
    <w:lvl w:ilvl="0" w:tplc="04090011">
      <w:start w:val="1"/>
      <w:numFmt w:val="decimal"/>
      <w:lvlText w:val="%1、"/>
      <w:lvlJc w:val="left"/>
      <w:pPr>
        <w:tabs>
          <w:tab w:val="num" w:pos="426"/>
        </w:tabs>
        <w:ind w:firstLine="567"/>
      </w:pPr>
      <w:rPr>
        <w:rFonts w:eastAsia="宋体" w:cs="Times New Roman" w:hint="eastAsia"/>
        <w:b w:val="0"/>
        <w:i w:val="0"/>
        <w:sz w:val="24"/>
        <w:szCs w:val="24"/>
      </w:rPr>
    </w:lvl>
    <w:lvl w:ilvl="1" w:tplc="04090019" w:tentative="1">
      <w:start w:val="1"/>
      <w:numFmt w:val="lowerLetter"/>
      <w:lvlText w:val="%2)"/>
      <w:lvlJc w:val="left"/>
      <w:pPr>
        <w:tabs>
          <w:tab w:val="num" w:pos="840"/>
        </w:tabs>
        <w:ind w:left="840" w:hanging="420"/>
      </w:pPr>
      <w:rPr>
        <w:rFonts w:cs="Times New Roman"/>
      </w:rPr>
    </w:lvl>
    <w:lvl w:ilvl="2" w:tplc="0409001B" w:tentative="1">
      <w:start w:val="1"/>
      <w:numFmt w:val="lowerRoman"/>
      <w:lvlText w:val="%3."/>
      <w:lvlJc w:val="right"/>
      <w:pPr>
        <w:tabs>
          <w:tab w:val="num" w:pos="1260"/>
        </w:tabs>
        <w:ind w:left="1260" w:hanging="420"/>
      </w:pPr>
      <w:rPr>
        <w:rFonts w:cs="Times New Roman"/>
      </w:rPr>
    </w:lvl>
    <w:lvl w:ilvl="3" w:tplc="0409000F" w:tentative="1">
      <w:start w:val="1"/>
      <w:numFmt w:val="decimal"/>
      <w:lvlText w:val="%4."/>
      <w:lvlJc w:val="left"/>
      <w:pPr>
        <w:tabs>
          <w:tab w:val="num" w:pos="1680"/>
        </w:tabs>
        <w:ind w:left="1680" w:hanging="420"/>
      </w:pPr>
      <w:rPr>
        <w:rFonts w:cs="Times New Roman"/>
      </w:rPr>
    </w:lvl>
    <w:lvl w:ilvl="4" w:tplc="04090019" w:tentative="1">
      <w:start w:val="1"/>
      <w:numFmt w:val="lowerLetter"/>
      <w:lvlText w:val="%5)"/>
      <w:lvlJc w:val="left"/>
      <w:pPr>
        <w:tabs>
          <w:tab w:val="num" w:pos="2100"/>
        </w:tabs>
        <w:ind w:left="2100" w:hanging="420"/>
      </w:pPr>
      <w:rPr>
        <w:rFonts w:cs="Times New Roman"/>
      </w:rPr>
    </w:lvl>
    <w:lvl w:ilvl="5" w:tplc="0409001B" w:tentative="1">
      <w:start w:val="1"/>
      <w:numFmt w:val="lowerRoman"/>
      <w:lvlText w:val="%6."/>
      <w:lvlJc w:val="right"/>
      <w:pPr>
        <w:tabs>
          <w:tab w:val="num" w:pos="2520"/>
        </w:tabs>
        <w:ind w:left="2520" w:hanging="420"/>
      </w:pPr>
      <w:rPr>
        <w:rFonts w:cs="Times New Roman"/>
      </w:rPr>
    </w:lvl>
    <w:lvl w:ilvl="6" w:tplc="0409000F" w:tentative="1">
      <w:start w:val="1"/>
      <w:numFmt w:val="decimal"/>
      <w:lvlText w:val="%7."/>
      <w:lvlJc w:val="left"/>
      <w:pPr>
        <w:tabs>
          <w:tab w:val="num" w:pos="2940"/>
        </w:tabs>
        <w:ind w:left="2940" w:hanging="420"/>
      </w:pPr>
      <w:rPr>
        <w:rFonts w:cs="Times New Roman"/>
      </w:rPr>
    </w:lvl>
    <w:lvl w:ilvl="7" w:tplc="04090019" w:tentative="1">
      <w:start w:val="1"/>
      <w:numFmt w:val="lowerLetter"/>
      <w:lvlText w:val="%8)"/>
      <w:lvlJc w:val="left"/>
      <w:pPr>
        <w:tabs>
          <w:tab w:val="num" w:pos="3360"/>
        </w:tabs>
        <w:ind w:left="3360" w:hanging="420"/>
      </w:pPr>
      <w:rPr>
        <w:rFonts w:cs="Times New Roman"/>
      </w:rPr>
    </w:lvl>
    <w:lvl w:ilvl="8" w:tplc="0409001B" w:tentative="1">
      <w:start w:val="1"/>
      <w:numFmt w:val="lowerRoman"/>
      <w:lvlText w:val="%9."/>
      <w:lvlJc w:val="right"/>
      <w:pPr>
        <w:tabs>
          <w:tab w:val="num" w:pos="3780"/>
        </w:tabs>
        <w:ind w:left="3780" w:hanging="420"/>
      </w:pPr>
      <w:rPr>
        <w:rFonts w:cs="Times New Roman"/>
      </w:rPr>
    </w:lvl>
  </w:abstractNum>
  <w:abstractNum w:abstractNumId="35" w15:restartNumberingAfterBreak="0">
    <w:nsid w:val="7E41566D"/>
    <w:multiLevelType w:val="hybridMultilevel"/>
    <w:tmpl w:val="AD2E6F24"/>
    <w:lvl w:ilvl="0" w:tplc="B94A0560">
      <w:start w:val="1"/>
      <w:numFmt w:val="chineseCountingThousand"/>
      <w:lvlText w:val="（%1）"/>
      <w:lvlJc w:val="left"/>
      <w:pPr>
        <w:tabs>
          <w:tab w:val="num" w:pos="567"/>
        </w:tabs>
        <w:ind w:left="0" w:firstLine="567"/>
      </w:pPr>
      <w:rPr>
        <w:rFonts w:hint="eastAsia"/>
        <w:b/>
        <w:i w:val="0"/>
        <w:sz w:val="24"/>
        <w:szCs w:val="24"/>
        <w:lang w:val="en-US"/>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16"/>
  </w:num>
  <w:num w:numId="2">
    <w:abstractNumId w:val="32"/>
  </w:num>
  <w:num w:numId="3">
    <w:abstractNumId w:val="19"/>
  </w:num>
  <w:num w:numId="4">
    <w:abstractNumId w:val="5"/>
  </w:num>
  <w:num w:numId="5">
    <w:abstractNumId w:val="6"/>
  </w:num>
  <w:num w:numId="6">
    <w:abstractNumId w:val="27"/>
  </w:num>
  <w:num w:numId="7">
    <w:abstractNumId w:val="13"/>
  </w:num>
  <w:num w:numId="8">
    <w:abstractNumId w:val="7"/>
  </w:num>
  <w:num w:numId="9">
    <w:abstractNumId w:val="9"/>
  </w:num>
  <w:num w:numId="10">
    <w:abstractNumId w:val="8"/>
  </w:num>
  <w:num w:numId="11">
    <w:abstractNumId w:val="25"/>
  </w:num>
  <w:num w:numId="12">
    <w:abstractNumId w:val="34"/>
  </w:num>
  <w:num w:numId="13">
    <w:abstractNumId w:val="24"/>
  </w:num>
  <w:num w:numId="14">
    <w:abstractNumId w:val="0"/>
  </w:num>
  <w:num w:numId="15">
    <w:abstractNumId w:val="21"/>
  </w:num>
  <w:num w:numId="16">
    <w:abstractNumId w:val="15"/>
  </w:num>
  <w:num w:numId="17">
    <w:abstractNumId w:val="2"/>
  </w:num>
  <w:num w:numId="18">
    <w:abstractNumId w:val="30"/>
  </w:num>
  <w:num w:numId="19">
    <w:abstractNumId w:val="23"/>
  </w:num>
  <w:num w:numId="20">
    <w:abstractNumId w:val="4"/>
  </w:num>
  <w:num w:numId="21">
    <w:abstractNumId w:val="28"/>
  </w:num>
  <w:num w:numId="22">
    <w:abstractNumId w:val="22"/>
  </w:num>
  <w:num w:numId="23">
    <w:abstractNumId w:val="33"/>
  </w:num>
  <w:num w:numId="24">
    <w:abstractNumId w:val="35"/>
  </w:num>
  <w:num w:numId="25">
    <w:abstractNumId w:val="18"/>
  </w:num>
  <w:num w:numId="26">
    <w:abstractNumId w:val="11"/>
  </w:num>
  <w:num w:numId="27">
    <w:abstractNumId w:val="29"/>
  </w:num>
  <w:num w:numId="28">
    <w:abstractNumId w:val="12"/>
  </w:num>
  <w:num w:numId="29">
    <w:abstractNumId w:val="17"/>
  </w:num>
  <w:num w:numId="30">
    <w:abstractNumId w:val="20"/>
  </w:num>
  <w:num w:numId="31">
    <w:abstractNumId w:val="1"/>
  </w:num>
  <w:num w:numId="32">
    <w:abstractNumId w:val="3"/>
  </w:num>
  <w:num w:numId="33">
    <w:abstractNumId w:val="14"/>
  </w:num>
  <w:num w:numId="34">
    <w:abstractNumId w:val="10"/>
  </w:num>
  <w:num w:numId="35">
    <w:abstractNumId w:val="26"/>
  </w:num>
  <w:num w:numId="36">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0D64"/>
    <w:rsid w:val="000A0524"/>
    <w:rsid w:val="000B1BC9"/>
    <w:rsid w:val="000D0553"/>
    <w:rsid w:val="001367CE"/>
    <w:rsid w:val="00210F87"/>
    <w:rsid w:val="00240B84"/>
    <w:rsid w:val="00296838"/>
    <w:rsid w:val="003163BB"/>
    <w:rsid w:val="0034471C"/>
    <w:rsid w:val="00456D37"/>
    <w:rsid w:val="004B4D8A"/>
    <w:rsid w:val="005D1CF3"/>
    <w:rsid w:val="006422BB"/>
    <w:rsid w:val="009F7479"/>
    <w:rsid w:val="00A30D64"/>
    <w:rsid w:val="00B334B6"/>
    <w:rsid w:val="00B371F8"/>
    <w:rsid w:val="00B40ECC"/>
    <w:rsid w:val="00B616D6"/>
    <w:rsid w:val="00C25D97"/>
    <w:rsid w:val="00C36003"/>
    <w:rsid w:val="00C409B3"/>
    <w:rsid w:val="00CD2E3B"/>
    <w:rsid w:val="00D337E6"/>
    <w:rsid w:val="00E501B0"/>
    <w:rsid w:val="00EC102D"/>
    <w:rsid w:val="00EC46D9"/>
    <w:rsid w:val="00F74EA5"/>
    <w:rsid w:val="00FE72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5F7BEF52-BE8B-45B8-8C33-2629FA2BBD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A0524"/>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0A0524"/>
    <w:rPr>
      <w:sz w:val="18"/>
      <w:szCs w:val="18"/>
    </w:rPr>
  </w:style>
  <w:style w:type="paragraph" w:styleId="a5">
    <w:name w:val="footer"/>
    <w:basedOn w:val="a"/>
    <w:link w:val="a6"/>
    <w:uiPriority w:val="99"/>
    <w:unhideWhenUsed/>
    <w:rsid w:val="000A0524"/>
    <w:pPr>
      <w:tabs>
        <w:tab w:val="center" w:pos="4153"/>
        <w:tab w:val="right" w:pos="8306"/>
      </w:tabs>
      <w:snapToGrid w:val="0"/>
      <w:jc w:val="left"/>
    </w:pPr>
    <w:rPr>
      <w:sz w:val="18"/>
      <w:szCs w:val="18"/>
    </w:rPr>
  </w:style>
  <w:style w:type="character" w:customStyle="1" w:styleId="a6">
    <w:name w:val="页脚 字符"/>
    <w:basedOn w:val="a0"/>
    <w:link w:val="a5"/>
    <w:uiPriority w:val="99"/>
    <w:rsid w:val="000A0524"/>
    <w:rPr>
      <w:sz w:val="18"/>
      <w:szCs w:val="18"/>
    </w:rPr>
  </w:style>
  <w:style w:type="numbering" w:customStyle="1" w:styleId="1">
    <w:name w:val="无列表1"/>
    <w:next w:val="a2"/>
    <w:uiPriority w:val="99"/>
    <w:semiHidden/>
    <w:unhideWhenUsed/>
    <w:rsid w:val="000A0524"/>
  </w:style>
  <w:style w:type="paragraph" w:styleId="a7">
    <w:name w:val="Balloon Text"/>
    <w:basedOn w:val="a"/>
    <w:link w:val="10"/>
    <w:uiPriority w:val="99"/>
    <w:semiHidden/>
    <w:unhideWhenUsed/>
    <w:rsid w:val="000A0524"/>
    <w:rPr>
      <w:rFonts w:ascii="Calibri" w:eastAsia="宋体" w:hAnsi="Calibri" w:cs="Times New Roman"/>
      <w:sz w:val="18"/>
      <w:szCs w:val="18"/>
      <w:lang w:val="x-none" w:eastAsia="x-none"/>
    </w:rPr>
  </w:style>
  <w:style w:type="character" w:customStyle="1" w:styleId="a8">
    <w:name w:val="批注框文本 字符"/>
    <w:basedOn w:val="a0"/>
    <w:uiPriority w:val="99"/>
    <w:semiHidden/>
    <w:rsid w:val="000A0524"/>
    <w:rPr>
      <w:sz w:val="18"/>
      <w:szCs w:val="18"/>
    </w:rPr>
  </w:style>
  <w:style w:type="character" w:customStyle="1" w:styleId="10">
    <w:name w:val="批注框文本 字符1"/>
    <w:link w:val="a7"/>
    <w:uiPriority w:val="99"/>
    <w:semiHidden/>
    <w:rsid w:val="000A0524"/>
    <w:rPr>
      <w:rFonts w:ascii="Calibri" w:eastAsia="宋体" w:hAnsi="Calibri" w:cs="Times New Roman"/>
      <w:sz w:val="18"/>
      <w:szCs w:val="18"/>
      <w:lang w:val="x-none" w:eastAsia="x-none"/>
    </w:rPr>
  </w:style>
  <w:style w:type="character" w:customStyle="1" w:styleId="Char">
    <w:name w:val="页眉 Char"/>
    <w:uiPriority w:val="99"/>
    <w:rsid w:val="000A0524"/>
    <w:rPr>
      <w:kern w:val="2"/>
      <w:sz w:val="18"/>
      <w:szCs w:val="18"/>
    </w:rPr>
  </w:style>
  <w:style w:type="character" w:customStyle="1" w:styleId="Char0">
    <w:name w:val="页脚 Char"/>
    <w:uiPriority w:val="99"/>
    <w:rsid w:val="000A0524"/>
    <w:rPr>
      <w:kern w:val="2"/>
      <w:sz w:val="18"/>
      <w:szCs w:val="18"/>
    </w:rPr>
  </w:style>
  <w:style w:type="character" w:styleId="a9">
    <w:name w:val="annotation reference"/>
    <w:uiPriority w:val="99"/>
    <w:semiHidden/>
    <w:unhideWhenUsed/>
    <w:rsid w:val="000A0524"/>
    <w:rPr>
      <w:sz w:val="21"/>
      <w:szCs w:val="21"/>
    </w:rPr>
  </w:style>
  <w:style w:type="paragraph" w:styleId="aa">
    <w:name w:val="annotation text"/>
    <w:basedOn w:val="a"/>
    <w:link w:val="11"/>
    <w:uiPriority w:val="99"/>
    <w:unhideWhenUsed/>
    <w:rsid w:val="000A0524"/>
    <w:pPr>
      <w:jc w:val="left"/>
    </w:pPr>
    <w:rPr>
      <w:rFonts w:ascii="Calibri" w:eastAsia="宋体" w:hAnsi="Calibri" w:cs="Times New Roman"/>
      <w:lang w:val="x-none" w:eastAsia="x-none"/>
    </w:rPr>
  </w:style>
  <w:style w:type="character" w:customStyle="1" w:styleId="ab">
    <w:name w:val="批注文字 字符"/>
    <w:basedOn w:val="a0"/>
    <w:uiPriority w:val="99"/>
    <w:semiHidden/>
    <w:rsid w:val="000A0524"/>
  </w:style>
  <w:style w:type="character" w:customStyle="1" w:styleId="11">
    <w:name w:val="批注文字 字符1"/>
    <w:link w:val="aa"/>
    <w:uiPriority w:val="99"/>
    <w:rsid w:val="000A0524"/>
    <w:rPr>
      <w:rFonts w:ascii="Calibri" w:eastAsia="宋体" w:hAnsi="Calibri" w:cs="Times New Roman"/>
      <w:lang w:val="x-none" w:eastAsia="x-none"/>
    </w:rPr>
  </w:style>
  <w:style w:type="paragraph" w:styleId="ac">
    <w:name w:val="annotation subject"/>
    <w:basedOn w:val="aa"/>
    <w:next w:val="aa"/>
    <w:link w:val="12"/>
    <w:uiPriority w:val="99"/>
    <w:semiHidden/>
    <w:unhideWhenUsed/>
    <w:rsid w:val="000A0524"/>
    <w:rPr>
      <w:b/>
      <w:bCs/>
    </w:rPr>
  </w:style>
  <w:style w:type="character" w:customStyle="1" w:styleId="ad">
    <w:name w:val="批注主题 字符"/>
    <w:basedOn w:val="ab"/>
    <w:uiPriority w:val="99"/>
    <w:semiHidden/>
    <w:rsid w:val="000A0524"/>
    <w:rPr>
      <w:b/>
      <w:bCs/>
    </w:rPr>
  </w:style>
  <w:style w:type="character" w:customStyle="1" w:styleId="12">
    <w:name w:val="批注主题 字符1"/>
    <w:link w:val="ac"/>
    <w:uiPriority w:val="99"/>
    <w:semiHidden/>
    <w:rsid w:val="000A0524"/>
    <w:rPr>
      <w:rFonts w:ascii="Calibri" w:eastAsia="宋体" w:hAnsi="Calibri" w:cs="Times New Roman"/>
      <w:b/>
      <w:bCs/>
      <w:lang w:val="x-none" w:eastAsia="x-none"/>
    </w:rPr>
  </w:style>
  <w:style w:type="paragraph" w:customStyle="1" w:styleId="Char1">
    <w:name w:val="Char"/>
    <w:basedOn w:val="a"/>
    <w:rsid w:val="000A0524"/>
    <w:rPr>
      <w:rFonts w:ascii="Times New Roman" w:eastAsia="宋体" w:hAnsi="Times New Roman" w:cs="Times New Roman"/>
      <w:szCs w:val="24"/>
    </w:rPr>
  </w:style>
  <w:style w:type="paragraph" w:styleId="ae">
    <w:name w:val="Revision"/>
    <w:hidden/>
    <w:uiPriority w:val="99"/>
    <w:semiHidden/>
    <w:rsid w:val="000A0524"/>
    <w:rPr>
      <w:rFonts w:ascii="Calibri" w:eastAsia="宋体" w:hAnsi="Calibri" w:cs="Times New Roman"/>
    </w:rPr>
  </w:style>
  <w:style w:type="paragraph" w:styleId="af">
    <w:name w:val="List Paragraph"/>
    <w:basedOn w:val="a"/>
    <w:uiPriority w:val="34"/>
    <w:qFormat/>
    <w:rsid w:val="000A0524"/>
    <w:pPr>
      <w:ind w:firstLineChars="200" w:firstLine="420"/>
    </w:pPr>
    <w:rPr>
      <w:rFonts w:ascii="Calibri" w:eastAsia="宋体" w:hAnsi="Calibri" w:cs="Times New Roman"/>
    </w:rPr>
  </w:style>
  <w:style w:type="paragraph" w:customStyle="1" w:styleId="Default">
    <w:name w:val="Default"/>
    <w:rsid w:val="000A0524"/>
    <w:pPr>
      <w:widowControl w:val="0"/>
      <w:autoSpaceDE w:val="0"/>
      <w:autoSpaceDN w:val="0"/>
      <w:adjustRightInd w:val="0"/>
    </w:pPr>
    <w:rPr>
      <w:rFonts w:ascii="Arial Unicode MS" w:eastAsia="Arial Unicode MS" w:hAnsi="Calibri" w:cs="Arial Unicode MS"/>
      <w:color w:val="000000"/>
      <w:kern w:val="0"/>
      <w:sz w:val="24"/>
      <w:szCs w:val="24"/>
    </w:rPr>
  </w:style>
  <w:style w:type="paragraph" w:styleId="af0">
    <w:name w:val="Document Map"/>
    <w:basedOn w:val="a"/>
    <w:link w:val="13"/>
    <w:uiPriority w:val="99"/>
    <w:semiHidden/>
    <w:unhideWhenUsed/>
    <w:rsid w:val="000A0524"/>
    <w:rPr>
      <w:rFonts w:ascii="宋体" w:eastAsia="宋体" w:hAnsi="Calibri" w:cs="Times New Roman"/>
      <w:sz w:val="18"/>
      <w:szCs w:val="18"/>
      <w:lang w:val="x-none" w:eastAsia="x-none"/>
    </w:rPr>
  </w:style>
  <w:style w:type="character" w:customStyle="1" w:styleId="af1">
    <w:name w:val="文档结构图 字符"/>
    <w:basedOn w:val="a0"/>
    <w:uiPriority w:val="99"/>
    <w:semiHidden/>
    <w:rsid w:val="000A0524"/>
    <w:rPr>
      <w:rFonts w:ascii="Microsoft YaHei UI" w:eastAsia="Microsoft YaHei UI"/>
      <w:sz w:val="18"/>
      <w:szCs w:val="18"/>
    </w:rPr>
  </w:style>
  <w:style w:type="character" w:customStyle="1" w:styleId="13">
    <w:name w:val="文档结构图 字符1"/>
    <w:link w:val="af0"/>
    <w:uiPriority w:val="99"/>
    <w:semiHidden/>
    <w:rsid w:val="000A0524"/>
    <w:rPr>
      <w:rFonts w:ascii="宋体" w:eastAsia="宋体" w:hAnsi="Calibri" w:cs="Times New Roman"/>
      <w:sz w:val="18"/>
      <w:szCs w:val="18"/>
      <w:lang w:val="x-none" w:eastAsia="x-none"/>
    </w:rPr>
  </w:style>
  <w:style w:type="paragraph" w:customStyle="1" w:styleId="14">
    <w:name w:val="标题1"/>
    <w:basedOn w:val="a"/>
    <w:rsid w:val="000A0524"/>
    <w:pPr>
      <w:widowControl/>
      <w:spacing w:before="100" w:beforeAutospacing="1" w:after="100" w:afterAutospacing="1"/>
      <w:ind w:firstLine="480"/>
      <w:jc w:val="left"/>
    </w:pPr>
    <w:rPr>
      <w:rFonts w:ascii="微软雅黑" w:eastAsia="微软雅黑" w:hAnsi="微软雅黑" w:cs="宋体"/>
      <w:kern w:val="0"/>
      <w:szCs w:val="21"/>
    </w:rPr>
  </w:style>
  <w:style w:type="paragraph" w:customStyle="1" w:styleId="faguiconp">
    <w:name w:val="faguicon_p"/>
    <w:basedOn w:val="a"/>
    <w:rsid w:val="000A0524"/>
    <w:pPr>
      <w:widowControl/>
      <w:ind w:firstLine="480"/>
      <w:jc w:val="left"/>
    </w:pPr>
    <w:rPr>
      <w:rFonts w:ascii="微软雅黑" w:eastAsia="微软雅黑" w:hAnsi="微软雅黑" w:cs="微软雅黑"/>
      <w:kern w:val="0"/>
      <w:sz w:val="24"/>
      <w:szCs w:val="24"/>
    </w:rPr>
  </w:style>
  <w:style w:type="character" w:customStyle="1" w:styleId="sect2title">
    <w:name w:val="sect2title"/>
    <w:rsid w:val="000A0524"/>
    <w:rPr>
      <w:rFonts w:ascii="微软雅黑" w:eastAsia="微软雅黑" w:hAnsi="微软雅黑" w:cs="微软雅黑"/>
      <w:b/>
      <w:bCs/>
      <w:sz w:val="26"/>
      <w:szCs w:val="26"/>
    </w:rPr>
  </w:style>
  <w:style w:type="character" w:customStyle="1" w:styleId="2">
    <w:name w:val="标题2"/>
    <w:rsid w:val="000A0524"/>
    <w:rPr>
      <w:rFonts w:ascii="微软雅黑" w:eastAsia="微软雅黑" w:hAnsi="微软雅黑" w:cs="微软雅黑"/>
      <w:sz w:val="26"/>
      <w:szCs w:val="26"/>
    </w:rPr>
  </w:style>
  <w:style w:type="paragraph" w:customStyle="1" w:styleId="af2">
    <w:name w:val="正文（首缩）"/>
    <w:basedOn w:val="a"/>
    <w:link w:val="Char2"/>
    <w:qFormat/>
    <w:rsid w:val="000A0524"/>
    <w:pPr>
      <w:widowControl/>
      <w:spacing w:after="200" w:line="276" w:lineRule="auto"/>
      <w:ind w:firstLineChars="200" w:firstLine="200"/>
      <w:jc w:val="left"/>
    </w:pPr>
    <w:rPr>
      <w:rFonts w:ascii="Times New Roman" w:eastAsia="楷体_GB2312" w:hAnsi="Times New Roman" w:cs="Times New Roman"/>
      <w:kern w:val="0"/>
      <w:sz w:val="24"/>
      <w:lang w:val="x-none" w:eastAsia="x-none"/>
    </w:rPr>
  </w:style>
  <w:style w:type="character" w:customStyle="1" w:styleId="Char2">
    <w:name w:val="正文（首缩） Char"/>
    <w:link w:val="af2"/>
    <w:rsid w:val="000A0524"/>
    <w:rPr>
      <w:rFonts w:ascii="Times New Roman" w:eastAsia="楷体_GB2312" w:hAnsi="Times New Roman" w:cs="Times New Roman"/>
      <w:kern w:val="0"/>
      <w:sz w:val="24"/>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37</Pages>
  <Words>4381</Words>
  <Characters>24974</Characters>
  <Application>Microsoft Office Word</Application>
  <DocSecurity>0</DocSecurity>
  <Lines>208</Lines>
  <Paragraphs>58</Paragraphs>
  <ScaleCrop>false</ScaleCrop>
  <Company/>
  <LinksUpToDate>false</LinksUpToDate>
  <CharactersWithSpaces>29297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孙璐</dc:creator>
  <cp:keywords/>
  <dc:description/>
  <cp:lastModifiedBy>朱婧</cp:lastModifiedBy>
  <cp:revision>5</cp:revision>
  <dcterms:created xsi:type="dcterms:W3CDTF">2021-08-03T01:53:00Z</dcterms:created>
  <dcterms:modified xsi:type="dcterms:W3CDTF">2021-08-16T01:02:00Z</dcterms:modified>
</cp:coreProperties>
</file>